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71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71944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Frinquelli Angelo Michael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00"/>
        <w:spacing w:after="0" w:line="268" w:lineRule="auto"/>
        <w:rPr>
          <w:sz w:val="20"/>
          <w:szCs w:val="20"/>
          <w:color w:val="auto"/>
        </w:rPr>
      </w:pPr>
      <w:r>
        <w:rPr>
          <w:rFonts w:ascii="Arial" w:cs="Arial" w:eastAsia="Arial" w:hAnsi="Arial"/>
          <w:sz w:val="18"/>
          <w:szCs w:val="18"/>
          <w:color w:val="0000FF"/>
        </w:rPr>
        <w:t>C/O WHITE MOUNTAINS INSURANCE GROUP, LTD</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80 SOUTH MAIN STREET</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2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92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40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0" w:type="dxa"/>
            <w:vAlign w:val="bottom"/>
            <w:vMerge w:val="continue"/>
          </w:tcPr>
          <w:p>
            <w:pPr>
              <w:spacing w:after="0"/>
              <w:rPr>
                <w:sz w:val="12"/>
                <w:szCs w:val="12"/>
                <w:color w:val="auto"/>
              </w:rPr>
            </w:pPr>
          </w:p>
        </w:tc>
        <w:tc>
          <w:tcPr>
            <w:tcW w:w="1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0"/>
        </w:trPr>
        <w:tc>
          <w:tcPr>
            <w:tcW w:w="8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2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52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12/21/2006</w:t>
            </w:r>
          </w:p>
        </w:tc>
        <w:tc>
          <w:tcPr>
            <w:tcW w:w="2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21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420" w:type="dxa"/>
            <w:vAlign w:val="bottom"/>
            <w:tcBorders>
              <w:bottom w:val="single" w:sz="8" w:color="2C2C2C"/>
            </w:tcBorders>
            <w:gridSpan w:val="3"/>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509" w:lineRule="exact"/>
        <w:rPr>
          <w:sz w:val="20"/>
          <w:szCs w:val="20"/>
          <w:color w:val="auto"/>
        </w:rPr>
      </w:pPr>
    </w:p>
    <w:p>
      <w:pPr>
        <w:sectPr>
          <w:pgSz w:w="11900" w:h="16838" w:orient="portrait"/>
          <w:cols w:equalWidth="0" w:num="2">
            <w:col w:w="3920" w:space="8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10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10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10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10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0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5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jc w:val="right"/>
              <w:ind w:right="112"/>
              <w:spacing w:after="0"/>
              <w:rPr>
                <w:sz w:val="20"/>
                <w:szCs w:val="20"/>
                <w:color w:val="auto"/>
              </w:rPr>
            </w:pPr>
            <w:r>
              <w:rPr>
                <w:rFonts w:ascii="Arial" w:cs="Arial" w:eastAsia="Arial" w:hAnsi="Arial"/>
                <w:sz w:val="18"/>
                <w:szCs w:val="18"/>
                <w:color w:val="0000FF"/>
              </w:rPr>
              <w:t>12/21/2006</w:t>
            </w:r>
          </w:p>
        </w:tc>
        <w:tc>
          <w:tcPr>
            <w:tcW w:w="1140" w:type="dxa"/>
            <w:vAlign w:val="bottom"/>
          </w:tcPr>
          <w:p>
            <w:pPr>
              <w:spacing w:after="0"/>
              <w:rPr>
                <w:sz w:val="23"/>
                <w:szCs w:val="23"/>
                <w:color w:val="auto"/>
              </w:rPr>
            </w:pPr>
          </w:p>
        </w:tc>
        <w:tc>
          <w:tcPr>
            <w:tcW w:w="800" w:type="dxa"/>
            <w:vAlign w:val="bottom"/>
          </w:tcPr>
          <w:p>
            <w:pPr>
              <w:ind w:left="180"/>
              <w:spacing w:after="0"/>
              <w:rPr>
                <w:sz w:val="20"/>
                <w:szCs w:val="20"/>
                <w:color w:val="auto"/>
              </w:rPr>
            </w:pPr>
            <w:r>
              <w:rPr>
                <w:rFonts w:ascii="Arial" w:cs="Arial" w:eastAsia="Arial" w:hAnsi="Arial"/>
                <w:sz w:val="14"/>
                <w:szCs w:val="14"/>
                <w:color w:val="0000FF"/>
              </w:rPr>
              <w:t>P</w:t>
            </w:r>
          </w:p>
        </w:tc>
        <w:tc>
          <w:tcPr>
            <w:tcW w:w="720" w:type="dxa"/>
            <w:vAlign w:val="bottom"/>
          </w:tcPr>
          <w:p>
            <w:pPr>
              <w:ind w:left="280"/>
              <w:spacing w:after="0"/>
              <w:rPr>
                <w:sz w:val="20"/>
                <w:szCs w:val="20"/>
                <w:color w:val="auto"/>
              </w:rPr>
            </w:pPr>
            <w:r>
              <w:rPr>
                <w:rFonts w:ascii="Arial" w:cs="Arial" w:eastAsia="Arial" w:hAnsi="Arial"/>
                <w:sz w:val="18"/>
                <w:szCs w:val="18"/>
                <w:color w:val="0000FF"/>
              </w:rPr>
              <w:t>100</w:t>
            </w:r>
          </w:p>
        </w:tc>
        <w:tc>
          <w:tcPr>
            <w:tcW w:w="580" w:type="dxa"/>
            <w:vAlign w:val="bottom"/>
          </w:tcPr>
          <w:p>
            <w:pPr>
              <w:ind w:left="300"/>
              <w:spacing w:after="0"/>
              <w:rPr>
                <w:sz w:val="20"/>
                <w:szCs w:val="20"/>
                <w:color w:val="auto"/>
              </w:rPr>
            </w:pPr>
            <w:r>
              <w:rPr>
                <w:rFonts w:ascii="Arial" w:cs="Arial" w:eastAsia="Arial" w:hAnsi="Arial"/>
                <w:sz w:val="18"/>
                <w:szCs w:val="18"/>
                <w:color w:val="0000FF"/>
              </w:rPr>
              <w:t>A</w:t>
            </w:r>
          </w:p>
        </w:tc>
        <w:tc>
          <w:tcPr>
            <w:tcW w:w="660" w:type="dxa"/>
            <w:vAlign w:val="bottom"/>
          </w:tcPr>
          <w:p>
            <w:pPr>
              <w:jc w:val="right"/>
              <w:ind w:right="6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580</w:t>
            </w:r>
          </w:p>
        </w:tc>
        <w:tc>
          <w:tcPr>
            <w:tcW w:w="1160" w:type="dxa"/>
            <w:vAlign w:val="bottom"/>
          </w:tcPr>
          <w:p>
            <w:pPr>
              <w:ind w:left="460"/>
              <w:spacing w:after="0"/>
              <w:rPr>
                <w:sz w:val="20"/>
                <w:szCs w:val="20"/>
                <w:color w:val="auto"/>
              </w:rPr>
            </w:pPr>
            <w:r>
              <w:rPr>
                <w:rFonts w:ascii="Arial" w:cs="Arial" w:eastAsia="Arial" w:hAnsi="Arial"/>
                <w:sz w:val="18"/>
                <w:szCs w:val="18"/>
                <w:color w:val="0000FF"/>
              </w:rPr>
              <w:t>100</w:t>
            </w:r>
          </w:p>
        </w:tc>
        <w:tc>
          <w:tcPr>
            <w:tcW w:w="960" w:type="dxa"/>
            <w:vAlign w:val="bottom"/>
          </w:tcPr>
          <w:p>
            <w:pPr>
              <w:ind w:left="440"/>
              <w:spacing w:after="0"/>
              <w:rPr>
                <w:sz w:val="20"/>
                <w:szCs w:val="20"/>
                <w:color w:val="auto"/>
              </w:rPr>
            </w:pPr>
            <w:r>
              <w:rPr>
                <w:rFonts w:ascii="Arial" w:cs="Arial" w:eastAsia="Arial" w:hAnsi="Arial"/>
                <w:sz w:val="18"/>
                <w:szCs w:val="18"/>
                <w:color w:val="0000FF"/>
              </w:rPr>
              <w:t>D</w:t>
            </w: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5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w w:val="88"/>
              </w:rPr>
              <w:t>Renaissance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Arial" w:cs="Arial" w:eastAsia="Arial" w:hAnsi="Arial"/>
                <w:sz w:val="18"/>
                <w:szCs w:val="18"/>
                <w:color w:val="0000FF"/>
              </w:rPr>
              <w:t>Common Shares</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ind w:left="460"/>
              <w:spacing w:after="0"/>
              <w:rPr>
                <w:sz w:val="20"/>
                <w:szCs w:val="20"/>
                <w:color w:val="auto"/>
              </w:rPr>
            </w:pPr>
            <w:r>
              <w:rPr>
                <w:rFonts w:ascii="Arial" w:cs="Arial" w:eastAsia="Arial" w:hAnsi="Arial"/>
                <w:sz w:val="18"/>
                <w:szCs w:val="18"/>
                <w:color w:val="0000FF"/>
              </w:rPr>
              <w:t>300</w:t>
            </w:r>
          </w:p>
        </w:tc>
        <w:tc>
          <w:tcPr>
            <w:tcW w:w="960" w:type="dxa"/>
            <w:vAlign w:val="bottom"/>
          </w:tcPr>
          <w:p>
            <w:pPr>
              <w:ind w:left="460"/>
              <w:spacing w:after="0"/>
              <w:rPr>
                <w:sz w:val="20"/>
                <w:szCs w:val="20"/>
                <w:color w:val="auto"/>
              </w:rPr>
            </w:pPr>
            <w:r>
              <w:rPr>
                <w:rFonts w:ascii="Arial" w:cs="Arial" w:eastAsia="Arial" w:hAnsi="Arial"/>
                <w:sz w:val="18"/>
                <w:szCs w:val="18"/>
                <w:color w:val="0000FF"/>
              </w:rPr>
              <w:t>I</w:t>
            </w:r>
          </w:p>
        </w:tc>
        <w:tc>
          <w:tcPr>
            <w:tcW w:w="1020" w:type="dxa"/>
            <w:vAlign w:val="bottom"/>
          </w:tcPr>
          <w:p>
            <w:pPr>
              <w:ind w:left="80"/>
              <w:spacing w:after="0"/>
              <w:rPr>
                <w:sz w:val="20"/>
                <w:szCs w:val="20"/>
                <w:color w:val="auto"/>
              </w:rPr>
            </w:pPr>
            <w:r>
              <w:rPr>
                <w:rFonts w:ascii="Arial" w:cs="Arial" w:eastAsia="Arial" w:hAnsi="Arial"/>
                <w:sz w:val="18"/>
                <w:szCs w:val="18"/>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20" w:type="dxa"/>
            <w:vAlign w:val="bottom"/>
          </w:tcPr>
          <w:p>
            <w:pPr>
              <w:ind w:left="80"/>
              <w:spacing w:after="0"/>
              <w:rPr>
                <w:sz w:val="20"/>
                <w:szCs w:val="20"/>
                <w:color w:val="auto"/>
              </w:rPr>
            </w:pPr>
            <w:r>
              <w:rPr>
                <w:rFonts w:ascii="Arial" w:cs="Arial" w:eastAsia="Arial" w:hAnsi="Arial"/>
                <w:sz w:val="18"/>
                <w:szCs w:val="18"/>
                <w:color w:val="0000FF"/>
              </w:rPr>
              <w:t>Advisors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20" w:type="dxa"/>
            <w:vAlign w:val="bottom"/>
            <w:tcBorders>
              <w:bottom w:val="single" w:sz="8" w:color="2C2C2C"/>
            </w:tcBorders>
          </w:tcPr>
          <w:p>
            <w:pPr>
              <w:spacing w:after="0"/>
              <w:rPr>
                <w:sz w:val="24"/>
                <w:szCs w:val="24"/>
                <w:color w:val="auto"/>
              </w:rPr>
            </w:pPr>
          </w:p>
        </w:tc>
        <w:tc>
          <w:tcPr>
            <w:tcW w:w="25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96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Inc.</w:t>
            </w:r>
            <w:r>
              <w:rPr>
                <w:rFonts w:ascii="Arial" w:cs="Arial" w:eastAsia="Arial" w:hAnsi="Arial"/>
                <w:sz w:val="22"/>
                <w:szCs w:val="22"/>
                <w:color w:val="008000"/>
                <w:vertAlign w:val="superscript"/>
              </w:rPr>
              <w:t>(1)</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0"/>
          <w:szCs w:val="20"/>
          <w:color w:val="auto"/>
        </w:rPr>
      </w:pPr>
    </w:p>
    <w:p>
      <w:pPr>
        <w:sectPr>
          <w:pgSz w:w="11900" w:h="16838" w:orient="portrait"/>
          <w:cols w:equalWidth="0" w:num="1">
            <w:col w:w="1142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1. Reporting Person is the sole shareholder of Renaissance Fund Advisors Inc.</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60"/>
        <w:spacing w:after="0"/>
        <w:rPr>
          <w:sz w:val="20"/>
          <w:szCs w:val="20"/>
          <w:color w:val="auto"/>
        </w:rPr>
      </w:pPr>
      <w:r>
        <w:rPr>
          <w:rFonts w:ascii="Arial" w:cs="Arial" w:eastAsia="Arial" w:hAnsi="Arial"/>
          <w:sz w:val="15"/>
          <w:szCs w:val="15"/>
          <w:color w:val="0000FF"/>
        </w:rPr>
        <w:t>Dennis P. Beaulieu,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6985</wp:posOffset>
            </wp:positionV>
            <wp:extent cx="13252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25245" cy="8890"/>
                    </a:xfrm>
                    <a:prstGeom prst="rect">
                      <a:avLst/>
                    </a:prstGeom>
                    <a:noFill/>
                  </pic:spPr>
                </pic:pic>
              </a:graphicData>
            </a:graphic>
          </wp:anchor>
        </w:drawing>
      </w:r>
    </w:p>
    <w:p>
      <w:pPr>
        <w:spacing w:after="0" w:line="30"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516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16890" cy="8890"/>
                    </a:xfrm>
                    <a:prstGeom prst="rect">
                      <a:avLst/>
                    </a:prstGeom>
                    <a:noFill/>
                  </pic:spPr>
                </pic:pic>
              </a:graphicData>
            </a:graphic>
          </wp:anchor>
        </w:drawing>
      </w:r>
    </w:p>
    <w:p>
      <w:pPr>
        <w:spacing w:after="0" w:line="44" w:lineRule="exact"/>
        <w:rPr>
          <w:sz w:val="20"/>
          <w:szCs w:val="20"/>
          <w:color w:val="auto"/>
        </w:rPr>
      </w:pPr>
    </w:p>
    <w:p>
      <w:pPr>
        <w:ind w:left="6860"/>
        <w:spacing w:after="0"/>
        <w:rPr>
          <w:sz w:val="20"/>
          <w:szCs w:val="20"/>
          <w:color w:val="auto"/>
        </w:rPr>
      </w:pPr>
      <w:r>
        <w:rPr>
          <w:rFonts w:ascii="Arial" w:cs="Arial" w:eastAsia="Arial" w:hAnsi="Arial"/>
          <w:sz w:val="14"/>
          <w:szCs w:val="14"/>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5"/>
          <w:szCs w:val="15"/>
          <w:color w:val="0000FF"/>
        </w:rPr>
        <w:t>12/21/2006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960" w:space="200"/>
            <w:col w:w="2260"/>
          </w:cols>
          <w:pgMar w:left="240" w:top="226" w:right="239" w:bottom="1440" w:gutter="0" w:footer="0" w:header="0"/>
          <w:type w:val="continuous"/>
        </w:sect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right="3259"/>
        <w:spacing w:after="0" w:line="237"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Robert L. Seelig, General Counsel, and Dennis P. Beaulieu, Secretary, of White Mountains Insurance Group, Ltd., and Jason R. Lichtenstein, Vice President and Assistant General Counsel of White Mountains Capital, Inc., signing singly, the undersigned's true and lawful attorney-in-fact to:</w:t>
      </w:r>
    </w:p>
    <w:p>
      <w:pPr>
        <w:spacing w:after="0" w:line="9" w:lineRule="exact"/>
        <w:rPr>
          <w:sz w:val="20"/>
          <w:szCs w:val="20"/>
          <w:color w:val="auto"/>
        </w:rPr>
      </w:pPr>
    </w:p>
    <w:p>
      <w:pPr>
        <w:ind w:right="37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6" w:lineRule="exact"/>
        <w:rPr>
          <w:rFonts w:ascii="Courier New" w:cs="Courier New" w:eastAsia="Courier New" w:hAnsi="Courier New"/>
          <w:sz w:val="18"/>
          <w:szCs w:val="18"/>
          <w:color w:val="auto"/>
        </w:rPr>
      </w:pPr>
    </w:p>
    <w:p>
      <w:pPr>
        <w:ind w:right="3679" w:firstLine="8"/>
        <w:spacing w:after="0" w:line="237" w:lineRule="auto"/>
        <w:tabs>
          <w:tab w:leader="none" w:pos="4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2"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4" w:lineRule="exact"/>
        <w:rPr>
          <w:rFonts w:ascii="Courier New" w:cs="Courier New" w:eastAsia="Courier New" w:hAnsi="Courier New"/>
          <w:sz w:val="18"/>
          <w:szCs w:val="18"/>
          <w:color w:val="auto"/>
        </w:rPr>
      </w:pPr>
    </w:p>
    <w:p>
      <w:pPr>
        <w:ind w:right="325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6" w:lineRule="exact"/>
        <w:rPr>
          <w:rFonts w:ascii="Courier New" w:cs="Courier New" w:eastAsia="Courier New" w:hAnsi="Courier New"/>
          <w:sz w:val="18"/>
          <w:szCs w:val="18"/>
          <w:color w:val="auto"/>
        </w:rPr>
      </w:pPr>
    </w:p>
    <w:p>
      <w:pPr>
        <w:ind w:right="315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1" w:lineRule="exact"/>
        <w:rPr>
          <w:rFonts w:ascii="Courier New" w:cs="Courier New" w:eastAsia="Courier New" w:hAnsi="Courier New"/>
          <w:sz w:val="18"/>
          <w:szCs w:val="18"/>
          <w:color w:val="auto"/>
        </w:rPr>
      </w:pPr>
    </w:p>
    <w:p>
      <w:pPr>
        <w:ind w:right="3259"/>
        <w:spacing w:after="0" w:line="270"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86" w:lineRule="exact"/>
        <w:rPr>
          <w:rFonts w:ascii="Courier New" w:cs="Courier New" w:eastAsia="Courier New" w:hAnsi="Courier New"/>
          <w:sz w:val="18"/>
          <w:szCs w:val="18"/>
          <w:color w:val="auto"/>
        </w:rPr>
      </w:pPr>
    </w:p>
    <w:p>
      <w:pPr>
        <w:ind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8" w:lineRule="exact"/>
        <w:rPr>
          <w:rFonts w:ascii="Courier New" w:cs="Courier New" w:eastAsia="Courier New" w:hAnsi="Courier New"/>
          <w:sz w:val="18"/>
          <w:szCs w:val="18"/>
          <w:color w:val="auto"/>
        </w:rPr>
      </w:pPr>
    </w:p>
    <w:p>
      <w:pPr>
        <w:ind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5" w:lineRule="exact"/>
        <w:rPr>
          <w:rFonts w:ascii="Courier New" w:cs="Courier New" w:eastAsia="Courier New" w:hAnsi="Courier New"/>
          <w:sz w:val="18"/>
          <w:szCs w:val="18"/>
          <w:color w:val="auto"/>
        </w:rPr>
      </w:pPr>
    </w:p>
    <w:p>
      <w:pPr>
        <w:ind w:right="389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186" w:lineRule="exact"/>
        <w:rPr>
          <w:sz w:val="20"/>
          <w:szCs w:val="20"/>
          <w:color w:val="auto"/>
        </w:rPr>
      </w:pPr>
    </w:p>
    <w:p>
      <w:pPr>
        <w:ind w:right="4839"/>
        <w:spacing w:after="0" w:line="23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14th day of June, 2005.</w:t>
      </w:r>
    </w:p>
    <w:p>
      <w:pPr>
        <w:spacing w:after="0" w:line="203"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A. Michael Frinquelli</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0678"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2019-12-18T14:09:03Z</dcterms:created>
  <dcterms:modified xsi:type="dcterms:W3CDTF">2019-12-18T14:09:03Z</dcterms:modified>
</cp:coreProperties>
</file>