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515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51573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94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Frinquelli Angelo Michael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05/26/2010</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00"/>
            <w:col w:w="7520"/>
          </w:cols>
          <w:pgMar w:left="240" w:top="224" w:right="139" w:bottom="94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Borders>
              <w:bottom w:val="single" w:sz="8" w:color="2C2C2C"/>
            </w:tcBorders>
          </w:tcPr>
          <w:p>
            <w:pPr>
              <w:jc w:val="right"/>
              <w:ind w:right="94"/>
              <w:spacing w:after="0"/>
              <w:rPr>
                <w:sz w:val="20"/>
                <w:szCs w:val="20"/>
                <w:color w:val="auto"/>
              </w:rPr>
            </w:pPr>
            <w:r>
              <w:rPr>
                <w:rFonts w:ascii="Arial" w:cs="Arial" w:eastAsia="Arial" w:hAnsi="Arial"/>
                <w:sz w:val="17"/>
                <w:szCs w:val="17"/>
                <w:color w:val="0000FF"/>
              </w:rPr>
              <w:t>05/26/2010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220"/>
              <w:spacing w:after="0" w:line="318" w:lineRule="exact"/>
              <w:rPr>
                <w:sz w:val="20"/>
                <w:szCs w:val="20"/>
                <w:color w:val="auto"/>
              </w:rPr>
            </w:pPr>
            <w:r>
              <w:rPr>
                <w:rFonts w:ascii="Arial" w:cs="Arial" w:eastAsia="Arial" w:hAnsi="Arial"/>
                <w:sz w:val="34"/>
                <w:szCs w:val="34"/>
                <w:color w:val="0000FF"/>
                <w:vertAlign w:val="subscript"/>
              </w:rPr>
              <w:t>100</w:t>
            </w:r>
            <w:r>
              <w:rPr>
                <w:rFonts w:ascii="Arial" w:cs="Arial" w:eastAsia="Arial" w:hAnsi="Arial"/>
                <w:sz w:val="11"/>
                <w:szCs w:val="11"/>
                <w:color w:val="008000"/>
              </w:rPr>
              <w:t>(1)</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300</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100</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020" w:type="dxa"/>
            <w:vAlign w:val="bottom"/>
          </w:tcPr>
          <w:p>
            <w:pPr>
              <w:ind w:left="100"/>
              <w:spacing w:after="0"/>
              <w:rPr>
                <w:sz w:val="20"/>
                <w:szCs w:val="20"/>
                <w:color w:val="auto"/>
              </w:rPr>
            </w:pPr>
            <w:r>
              <w:rPr>
                <w:rFonts w:ascii="Arial" w:cs="Arial" w:eastAsia="Arial" w:hAnsi="Arial"/>
                <w:sz w:val="17"/>
                <w:szCs w:val="17"/>
                <w:color w:val="0000FF"/>
              </w:rPr>
              <w:t>by wife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300</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020" w:type="dxa"/>
            <w:vAlign w:val="bottom"/>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w w:val="91"/>
              </w:rPr>
              <w:t>Renaissance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300</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020" w:type="dxa"/>
            <w:vAlign w:val="bottom"/>
          </w:tcPr>
          <w:p>
            <w:pPr>
              <w:ind w:left="100"/>
              <w:spacing w:after="0"/>
              <w:rPr>
                <w:sz w:val="20"/>
                <w:szCs w:val="20"/>
                <w:color w:val="auto"/>
              </w:rPr>
            </w:pPr>
            <w:r>
              <w:rPr>
                <w:rFonts w:ascii="Arial" w:cs="Arial" w:eastAsia="Arial" w:hAnsi="Arial"/>
                <w:sz w:val="17"/>
                <w:szCs w:val="17"/>
                <w:color w:val="0000FF"/>
              </w:rPr>
              <w:t>Fund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rPr>
              <w:t>Advisors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Inc.</w:t>
            </w:r>
            <w:r>
              <w:rPr>
                <w:rFonts w:ascii="Arial" w:cs="Arial" w:eastAsia="Arial" w:hAnsi="Arial"/>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2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820" w:type="dxa"/>
            <w:vAlign w:val="bottom"/>
          </w:tcPr>
          <w:p>
            <w:pPr>
              <w:spacing w:after="0"/>
              <w:rPr>
                <w:sz w:val="11"/>
                <w:szCs w:val="11"/>
                <w:color w:val="auto"/>
              </w:rPr>
            </w:pP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820" w:type="dxa"/>
            <w:vAlign w:val="bottom"/>
          </w:tcPr>
          <w:p>
            <w:pPr>
              <w:spacing w:after="0"/>
              <w:rPr>
                <w:sz w:val="11"/>
                <w:szCs w:val="11"/>
                <w:color w:val="auto"/>
              </w:rPr>
            </w:pP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8"/>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0"/>
        </w:trPr>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0"/>
        </w:trPr>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8"/>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0"/>
        </w:trPr>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bl>
    <w:p>
      <w:pPr>
        <w:spacing w:after="0" w:line="4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880" w:type="dxa"/>
            <w:vAlign w:val="bottom"/>
          </w:tcPr>
          <w:p>
            <w:pPr>
              <w:spacing w:after="0"/>
              <w:rPr>
                <w:sz w:val="20"/>
                <w:szCs w:val="20"/>
                <w:color w:val="auto"/>
              </w:rPr>
            </w:pPr>
            <w:r>
              <w:rPr>
                <w:rFonts w:ascii="Arial" w:cs="Arial" w:eastAsia="Arial" w:hAnsi="Arial"/>
                <w:sz w:val="13"/>
                <w:szCs w:val="13"/>
                <w:color w:val="0000FF"/>
              </w:rPr>
              <w:t>Phantom</w:t>
            </w:r>
          </w:p>
        </w:tc>
        <w:tc>
          <w:tcPr>
            <w:tcW w:w="27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0000FF"/>
              </w:rPr>
              <w:t>Shares</w:t>
            </w:r>
          </w:p>
        </w:tc>
        <w:tc>
          <w:tcPr>
            <w:tcW w:w="2700" w:type="dxa"/>
            <w:vAlign w:val="bottom"/>
            <w:vMerge w:val="restart"/>
          </w:tcPr>
          <w:p>
            <w:pPr>
              <w:jc w:val="right"/>
              <w:ind w:right="2165"/>
              <w:spacing w:after="0"/>
              <w:rPr>
                <w:sz w:val="20"/>
                <w:szCs w:val="20"/>
                <w:color w:val="auto"/>
              </w:rPr>
            </w:pPr>
            <w:r>
              <w:rPr>
                <w:rFonts w:ascii="Arial" w:cs="Arial" w:eastAsia="Arial" w:hAnsi="Arial"/>
                <w:sz w:val="11"/>
                <w:szCs w:val="11"/>
                <w:color w:val="008000"/>
              </w:rPr>
              <w:t>(3)</w:t>
            </w:r>
          </w:p>
        </w:tc>
        <w:tc>
          <w:tcPr>
            <w:tcW w:w="2680" w:type="dxa"/>
            <w:vAlign w:val="bottom"/>
            <w:vMerge w:val="restart"/>
          </w:tcPr>
          <w:p>
            <w:pPr>
              <w:jc w:val="right"/>
              <w:ind w:right="265"/>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jc w:val="right"/>
              <w:ind w:right="125"/>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1020" w:type="dxa"/>
            <w:vAlign w:val="bottom"/>
            <w:vMerge w:val="restart"/>
          </w:tcPr>
          <w:p>
            <w:pPr>
              <w:jc w:val="right"/>
              <w:ind w:right="554"/>
              <w:spacing w:after="0"/>
              <w:rPr>
                <w:sz w:val="20"/>
                <w:szCs w:val="20"/>
                <w:color w:val="auto"/>
              </w:rPr>
            </w:pPr>
            <w:r>
              <w:rPr>
                <w:rFonts w:ascii="Arial" w:cs="Arial" w:eastAsia="Arial" w:hAnsi="Arial"/>
                <w:sz w:val="17"/>
                <w:szCs w:val="17"/>
                <w:color w:val="0000FF"/>
              </w:rPr>
              <w:t>101</w:t>
            </w:r>
          </w:p>
        </w:tc>
        <w:tc>
          <w:tcPr>
            <w:tcW w:w="1180" w:type="dxa"/>
            <w:vAlign w:val="bottom"/>
            <w:vMerge w:val="restart"/>
          </w:tcPr>
          <w:p>
            <w:pPr>
              <w:jc w:val="right"/>
              <w:ind w:right="294"/>
              <w:spacing w:after="0"/>
              <w:rPr>
                <w:sz w:val="20"/>
                <w:szCs w:val="20"/>
                <w:color w:val="auto"/>
              </w:rPr>
            </w:pPr>
            <w:r>
              <w:rPr>
                <w:rFonts w:ascii="Arial" w:cs="Arial" w:eastAsia="Arial" w:hAnsi="Arial"/>
                <w:sz w:val="13"/>
                <w:szCs w:val="13"/>
                <w:color w:val="0000FF"/>
              </w:rPr>
              <w:t>101</w:t>
            </w:r>
          </w:p>
        </w:tc>
        <w:tc>
          <w:tcPr>
            <w:tcW w:w="440" w:type="dxa"/>
            <w:vAlign w:val="bottom"/>
            <w:vMerge w:val="restart"/>
          </w:tcPr>
          <w:p>
            <w:pPr>
              <w:ind w:left="36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r>
        <w:trPr>
          <w:trHeight w:val="114"/>
        </w:trPr>
        <w:tc>
          <w:tcPr>
            <w:tcW w:w="880" w:type="dxa"/>
            <w:vAlign w:val="bottom"/>
            <w:vMerge w:val="restart"/>
          </w:tcPr>
          <w:p>
            <w:pPr>
              <w:spacing w:after="0"/>
              <w:rPr>
                <w:sz w:val="20"/>
                <w:szCs w:val="20"/>
                <w:color w:val="auto"/>
              </w:rPr>
            </w:pPr>
            <w:r>
              <w:rPr>
                <w:rFonts w:ascii="Arial" w:cs="Arial" w:eastAsia="Arial" w:hAnsi="Arial"/>
                <w:sz w:val="13"/>
                <w:szCs w:val="13"/>
                <w:color w:val="0000FF"/>
              </w:rPr>
              <w:t>(Deferred</w:t>
            </w:r>
          </w:p>
        </w:tc>
        <w:tc>
          <w:tcPr>
            <w:tcW w:w="2700" w:type="dxa"/>
            <w:vAlign w:val="bottom"/>
            <w:vMerge w:val="continue"/>
          </w:tcPr>
          <w:p>
            <w:pPr>
              <w:spacing w:after="0"/>
              <w:rPr>
                <w:sz w:val="9"/>
                <w:szCs w:val="9"/>
                <w:color w:val="auto"/>
              </w:rPr>
            </w:pPr>
          </w:p>
        </w:tc>
        <w:tc>
          <w:tcPr>
            <w:tcW w:w="26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vMerge w:val="restart"/>
          </w:tcPr>
          <w:p>
            <w:pPr>
              <w:jc w:val="center"/>
              <w:ind w:left="14"/>
              <w:spacing w:after="0"/>
              <w:rPr>
                <w:sz w:val="20"/>
                <w:szCs w:val="20"/>
                <w:color w:val="auto"/>
              </w:rPr>
            </w:pPr>
            <w:r>
              <w:rPr>
                <w:rFonts w:ascii="Arial" w:cs="Arial" w:eastAsia="Arial" w:hAnsi="Arial"/>
                <w:sz w:val="13"/>
                <w:szCs w:val="13"/>
                <w:color w:val="0000FF"/>
                <w:w w:val="87"/>
              </w:rPr>
              <w:t>Shares</w:t>
            </w:r>
          </w:p>
        </w:tc>
        <w:tc>
          <w:tcPr>
            <w:tcW w:w="10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880" w:type="dxa"/>
            <w:vAlign w:val="bottom"/>
            <w:vMerge w:val="continue"/>
          </w:tcPr>
          <w:p>
            <w:pPr>
              <w:spacing w:after="0"/>
              <w:rPr>
                <w:sz w:val="3"/>
                <w:szCs w:val="3"/>
                <w:color w:val="auto"/>
              </w:rPr>
            </w:pPr>
          </w:p>
        </w:tc>
        <w:tc>
          <w:tcPr>
            <w:tcW w:w="27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Annual Director Share Award.</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is the sole shareholder of Renaissance Fund Advisors Inc.</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6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the Reporting Person's WTM deferred compensation account and are payable in cash upon the earlier of the date when the Reporting Person ceases to be a director of the Company or a date certain selected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07/16/2010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948"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4"/>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6" w:lineRule="exact"/>
        <w:rPr>
          <w:rFonts w:ascii="Courier New" w:cs="Courier New" w:eastAsia="Courier New" w:hAnsi="Courier New"/>
          <w:sz w:val="17"/>
          <w:szCs w:val="17"/>
          <w:color w:val="auto"/>
        </w:rPr>
      </w:pP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23rd day of June 2008.</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2019-12-18T12:59:02Z</dcterms:created>
  <dcterms:modified xsi:type="dcterms:W3CDTF">2019-12-18T12:59:02Z</dcterms:modified>
</cp:coreProperties>
</file>