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&amp; 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1,050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857.69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9,750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4,250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vMerge w:val="restart"/>
          </w:tcPr>
          <w:p>
            <w:pPr>
              <w:jc w:val="center"/>
              <w:ind w:right="420"/>
              <w:spacing w:after="0"/>
              <w:rPr>
                <w:sz w:val="20"/>
                <w:szCs w:val="20"/>
                <w:color w:val="auto"/>
              </w:rPr>
            </w:pPr>
            <w:r>
              <w:rPr>
                <w:rFonts w:ascii="Arial" w:cs="Arial" w:eastAsia="Arial" w:hAnsi="Arial"/>
                <w:sz w:val="35"/>
                <w:szCs w:val="35"/>
                <w:color w:val="0000FF"/>
                <w:w w:val="76"/>
                <w:vertAlign w:val="subscript"/>
              </w:rPr>
              <w:t>96</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3300" w:type="dxa"/>
            <w:vAlign w:val="bottom"/>
            <w:tcBorders>
              <w:bottom w:val="single" w:sz="8" w:color="2C2C2C"/>
            </w:tcBorders>
            <w:gridSpan w:val="7"/>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January 1, 2019, 2,250 restricted Common Shares became unrestricted. 1,050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accumulation of 10 Common Shares in Reporting Person's Company 401(k) account since his last report. The information in this report is based on a plan report dated as of December 27, 2018.</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w w:val="96"/>
              </w:rPr>
              <w:t>Wesley C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01/02/2019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Reid T. Campbell</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2019-12-24T09:12:42Z</dcterms:created>
  <dcterms:modified xsi:type="dcterms:W3CDTF">2019-12-24T09:12:42Z</dcterms:modified>
</cp:coreProperties>
</file>