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515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51573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14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Frinquelli Angelo Michael</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40"/>
        <w:spacing w:after="0" w:line="290" w:lineRule="auto"/>
        <w:rPr>
          <w:sz w:val="20"/>
          <w:szCs w:val="20"/>
          <w:color w:val="auto"/>
        </w:rPr>
      </w:pPr>
      <w:r>
        <w:rPr>
          <w:rFonts w:ascii="Arial" w:cs="Arial" w:eastAsia="Arial" w:hAnsi="Arial"/>
          <w:sz w:val="17"/>
          <w:szCs w:val="17"/>
          <w:color w:val="0000FF"/>
        </w:rPr>
        <w:t>C/O WHITE MOUNTAINS INSURANCE GROUP, LTD</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3980" w:type="dxa"/>
            <w:vAlign w:val="bottom"/>
            <w:gridSpan w:val="4"/>
            <w:vMerge w:val="restart"/>
          </w:tcPr>
          <w:p>
            <w:pPr>
              <w:ind w:left="60"/>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ind w:left="60"/>
              <w:spacing w:after="0"/>
              <w:rPr>
                <w:sz w:val="20"/>
                <w:szCs w:val="20"/>
                <w:color w:val="auto"/>
              </w:rPr>
            </w:pPr>
            <w:r>
              <w:rPr>
                <w:rFonts w:ascii="Arial" w:cs="Arial" w:eastAsia="Arial" w:hAnsi="Arial"/>
                <w:sz w:val="17"/>
                <w:szCs w:val="17"/>
                <w:color w:val="0000FF"/>
              </w:rPr>
              <w:t>05/03/2010</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509" w:lineRule="exact"/>
        <w:rPr>
          <w:sz w:val="20"/>
          <w:szCs w:val="20"/>
          <w:color w:val="auto"/>
        </w:rPr>
      </w:pPr>
    </w:p>
    <w:p>
      <w:pPr>
        <w:sectPr>
          <w:pgSz w:w="11900" w:h="16838" w:orient="portrait"/>
          <w:cols w:equalWidth="0" w:num="2">
            <w:col w:w="3900" w:space="100"/>
            <w:col w:w="7520"/>
          </w:cols>
          <w:pgMar w:left="240" w:top="224" w:right="139" w:bottom="114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10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2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207"/>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20" w:type="dxa"/>
            <w:vAlign w:val="bottom"/>
          </w:tcPr>
          <w:p>
            <w:pPr>
              <w:jc w:val="right"/>
              <w:ind w:right="94"/>
              <w:spacing w:after="0"/>
              <w:rPr>
                <w:sz w:val="20"/>
                <w:szCs w:val="20"/>
                <w:color w:val="auto"/>
              </w:rPr>
            </w:pPr>
            <w:r>
              <w:rPr>
                <w:rFonts w:ascii="Arial" w:cs="Arial" w:eastAsia="Arial" w:hAnsi="Arial"/>
                <w:sz w:val="17"/>
                <w:szCs w:val="17"/>
                <w:color w:val="0000FF"/>
              </w:rPr>
              <w:t>05/03/2010</w:t>
            </w:r>
          </w:p>
        </w:tc>
        <w:tc>
          <w:tcPr>
            <w:tcW w:w="1120" w:type="dxa"/>
            <w:vAlign w:val="bottom"/>
          </w:tcPr>
          <w:p>
            <w:pPr>
              <w:spacing w:after="0"/>
              <w:rPr>
                <w:sz w:val="22"/>
                <w:szCs w:val="22"/>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P</w:t>
            </w:r>
          </w:p>
        </w:tc>
        <w:tc>
          <w:tcPr>
            <w:tcW w:w="720" w:type="dxa"/>
            <w:vAlign w:val="bottom"/>
          </w:tcPr>
          <w:p>
            <w:pPr>
              <w:ind w:left="280"/>
              <w:spacing w:after="0"/>
              <w:rPr>
                <w:sz w:val="20"/>
                <w:szCs w:val="20"/>
                <w:color w:val="auto"/>
              </w:rPr>
            </w:pPr>
            <w:r>
              <w:rPr>
                <w:rFonts w:ascii="Arial" w:cs="Arial" w:eastAsia="Arial" w:hAnsi="Arial"/>
                <w:sz w:val="17"/>
                <w:szCs w:val="17"/>
                <w:color w:val="0000FF"/>
              </w:rPr>
              <w:t>100</w:t>
            </w:r>
          </w:p>
        </w:tc>
        <w:tc>
          <w:tcPr>
            <w:tcW w:w="580" w:type="dxa"/>
            <w:vAlign w:val="bottom"/>
          </w:tcPr>
          <w:p>
            <w:pPr>
              <w:ind w:left="300"/>
              <w:spacing w:after="0"/>
              <w:rPr>
                <w:sz w:val="20"/>
                <w:szCs w:val="20"/>
                <w:color w:val="auto"/>
              </w:rPr>
            </w:pPr>
            <w:r>
              <w:rPr>
                <w:rFonts w:ascii="Arial" w:cs="Arial" w:eastAsia="Arial" w:hAnsi="Arial"/>
                <w:sz w:val="17"/>
                <w:szCs w:val="17"/>
                <w:color w:val="0000FF"/>
              </w:rPr>
              <w:t>A</w:t>
            </w:r>
          </w:p>
        </w:tc>
        <w:tc>
          <w:tcPr>
            <w:tcW w:w="660" w:type="dxa"/>
            <w:vAlign w:val="bottom"/>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343</w:t>
            </w:r>
          </w:p>
        </w:tc>
        <w:tc>
          <w:tcPr>
            <w:tcW w:w="1160" w:type="dxa"/>
            <w:vAlign w:val="bottom"/>
          </w:tcPr>
          <w:p>
            <w:pPr>
              <w:ind w:left="460"/>
              <w:spacing w:after="0"/>
              <w:rPr>
                <w:sz w:val="20"/>
                <w:szCs w:val="20"/>
                <w:color w:val="auto"/>
              </w:rPr>
            </w:pPr>
            <w:r>
              <w:rPr>
                <w:rFonts w:ascii="Arial" w:cs="Arial" w:eastAsia="Arial" w:hAnsi="Arial"/>
                <w:sz w:val="17"/>
                <w:szCs w:val="17"/>
                <w:color w:val="0000FF"/>
              </w:rPr>
              <w:t>100</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1020" w:type="dxa"/>
            <w:vAlign w:val="bottom"/>
          </w:tcPr>
          <w:p>
            <w:pPr>
              <w:ind w:left="100"/>
              <w:spacing w:after="0"/>
              <w:rPr>
                <w:sz w:val="20"/>
                <w:szCs w:val="20"/>
                <w:color w:val="auto"/>
              </w:rPr>
            </w:pPr>
            <w:r>
              <w:rPr>
                <w:rFonts w:ascii="Arial" w:cs="Arial" w:eastAsia="Arial" w:hAnsi="Arial"/>
                <w:sz w:val="17"/>
                <w:szCs w:val="17"/>
                <w:color w:val="0000FF"/>
              </w:rPr>
              <w:t>by wife</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ind w:left="460"/>
              <w:spacing w:after="0"/>
              <w:rPr>
                <w:sz w:val="20"/>
                <w:szCs w:val="20"/>
                <w:color w:val="auto"/>
              </w:rPr>
            </w:pPr>
            <w:r>
              <w:rPr>
                <w:rFonts w:ascii="Arial" w:cs="Arial" w:eastAsia="Arial" w:hAnsi="Arial"/>
                <w:sz w:val="17"/>
                <w:szCs w:val="17"/>
                <w:color w:val="0000FF"/>
              </w:rPr>
              <w:t>200</w:t>
            </w:r>
          </w:p>
        </w:tc>
        <w:tc>
          <w:tcPr>
            <w:tcW w:w="960" w:type="dxa"/>
            <w:vAlign w:val="bottom"/>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ind w:left="460"/>
              <w:spacing w:after="0"/>
              <w:rPr>
                <w:sz w:val="20"/>
                <w:szCs w:val="20"/>
                <w:color w:val="auto"/>
              </w:rPr>
            </w:pPr>
            <w:r>
              <w:rPr>
                <w:rFonts w:ascii="Arial" w:cs="Arial" w:eastAsia="Arial" w:hAnsi="Arial"/>
                <w:sz w:val="17"/>
                <w:szCs w:val="17"/>
                <w:color w:val="0000FF"/>
              </w:rPr>
              <w:t>300</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1020" w:type="dxa"/>
            <w:vAlign w:val="bottom"/>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0000FF"/>
                <w:w w:val="91"/>
              </w:rPr>
              <w:t>Renaissance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ind w:left="460"/>
              <w:spacing w:after="0"/>
              <w:rPr>
                <w:sz w:val="20"/>
                <w:szCs w:val="20"/>
                <w:color w:val="auto"/>
              </w:rPr>
            </w:pPr>
            <w:r>
              <w:rPr>
                <w:rFonts w:ascii="Arial" w:cs="Arial" w:eastAsia="Arial" w:hAnsi="Arial"/>
                <w:sz w:val="17"/>
                <w:szCs w:val="17"/>
                <w:color w:val="0000FF"/>
              </w:rPr>
              <w:t>300</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1020" w:type="dxa"/>
            <w:vAlign w:val="bottom"/>
          </w:tcPr>
          <w:p>
            <w:pPr>
              <w:ind w:left="100"/>
              <w:spacing w:after="0"/>
              <w:rPr>
                <w:sz w:val="20"/>
                <w:szCs w:val="20"/>
                <w:color w:val="auto"/>
              </w:rPr>
            </w:pPr>
            <w:r>
              <w:rPr>
                <w:rFonts w:ascii="Arial" w:cs="Arial" w:eastAsia="Arial" w:hAnsi="Arial"/>
                <w:sz w:val="17"/>
                <w:szCs w:val="17"/>
                <w:color w:val="0000FF"/>
              </w:rPr>
              <w:t>Fund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0000FF"/>
              </w:rPr>
              <w:t>Advisors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Inc.</w:t>
            </w:r>
            <w:r>
              <w:rPr>
                <w:rFonts w:ascii="Arial" w:cs="Arial" w:eastAsia="Arial" w:hAnsi="Arial"/>
                <w:sz w:val="22"/>
                <w:szCs w:val="22"/>
                <w:color w:val="008000"/>
                <w:vertAlign w:val="superscript"/>
              </w:rPr>
              <w:t>(1)</w:t>
            </w: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2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820" w:type="dxa"/>
            <w:vAlign w:val="bottom"/>
          </w:tcPr>
          <w:p>
            <w:pPr>
              <w:spacing w:after="0"/>
              <w:rPr>
                <w:sz w:val="11"/>
                <w:szCs w:val="11"/>
                <w:color w:val="auto"/>
              </w:rPr>
            </w:pP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820" w:type="dxa"/>
            <w:vAlign w:val="bottom"/>
          </w:tcPr>
          <w:p>
            <w:pPr>
              <w:spacing w:after="0"/>
              <w:rPr>
                <w:sz w:val="11"/>
                <w:szCs w:val="11"/>
                <w:color w:val="auto"/>
              </w:rPr>
            </w:pP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8"/>
        </w:trPr>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0"/>
        </w:trPr>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70"/>
        </w:trPr>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8"/>
        </w:trPr>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0"/>
        </w:trPr>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bl>
    <w:p>
      <w:pPr>
        <w:spacing w:after="0" w:line="41"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880" w:type="dxa"/>
            <w:vAlign w:val="bottom"/>
          </w:tcPr>
          <w:p>
            <w:pPr>
              <w:spacing w:after="0"/>
              <w:rPr>
                <w:sz w:val="20"/>
                <w:szCs w:val="20"/>
                <w:color w:val="auto"/>
              </w:rPr>
            </w:pPr>
            <w:r>
              <w:rPr>
                <w:rFonts w:ascii="Arial" w:cs="Arial" w:eastAsia="Arial" w:hAnsi="Arial"/>
                <w:sz w:val="13"/>
                <w:szCs w:val="13"/>
                <w:color w:val="0000FF"/>
              </w:rPr>
              <w:t>Phantom</w:t>
            </w:r>
          </w:p>
        </w:tc>
        <w:tc>
          <w:tcPr>
            <w:tcW w:w="27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tcPr>
          <w:p>
            <w:pPr>
              <w:spacing w:after="0" w:line="146" w:lineRule="exact"/>
              <w:rPr>
                <w:sz w:val="20"/>
                <w:szCs w:val="20"/>
                <w:color w:val="auto"/>
              </w:rPr>
            </w:pPr>
            <w:r>
              <w:rPr>
                <w:rFonts w:ascii="Arial" w:cs="Arial" w:eastAsia="Arial" w:hAnsi="Arial"/>
                <w:sz w:val="13"/>
                <w:szCs w:val="13"/>
                <w:color w:val="0000FF"/>
              </w:rPr>
              <w:t>Shares</w:t>
            </w:r>
          </w:p>
        </w:tc>
        <w:tc>
          <w:tcPr>
            <w:tcW w:w="2700" w:type="dxa"/>
            <w:vAlign w:val="bottom"/>
            <w:vMerge w:val="restart"/>
          </w:tcPr>
          <w:p>
            <w:pPr>
              <w:jc w:val="right"/>
              <w:ind w:right="2165"/>
              <w:spacing w:after="0"/>
              <w:rPr>
                <w:sz w:val="20"/>
                <w:szCs w:val="20"/>
                <w:color w:val="auto"/>
              </w:rPr>
            </w:pPr>
            <w:r>
              <w:rPr>
                <w:rFonts w:ascii="Arial" w:cs="Arial" w:eastAsia="Arial" w:hAnsi="Arial"/>
                <w:sz w:val="11"/>
                <w:szCs w:val="11"/>
                <w:color w:val="008000"/>
              </w:rPr>
              <w:t>(2)</w:t>
            </w:r>
          </w:p>
        </w:tc>
        <w:tc>
          <w:tcPr>
            <w:tcW w:w="2680" w:type="dxa"/>
            <w:vAlign w:val="bottom"/>
            <w:vMerge w:val="restart"/>
          </w:tcPr>
          <w:p>
            <w:pPr>
              <w:jc w:val="right"/>
              <w:ind w:right="265"/>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jc w:val="right"/>
              <w:ind w:right="125"/>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1020" w:type="dxa"/>
            <w:vAlign w:val="bottom"/>
            <w:vMerge w:val="restart"/>
          </w:tcPr>
          <w:p>
            <w:pPr>
              <w:jc w:val="right"/>
              <w:ind w:right="554"/>
              <w:spacing w:after="0"/>
              <w:rPr>
                <w:sz w:val="20"/>
                <w:szCs w:val="20"/>
                <w:color w:val="auto"/>
              </w:rPr>
            </w:pPr>
            <w:r>
              <w:rPr>
                <w:rFonts w:ascii="Arial" w:cs="Arial" w:eastAsia="Arial" w:hAnsi="Arial"/>
                <w:sz w:val="17"/>
                <w:szCs w:val="17"/>
                <w:color w:val="0000FF"/>
              </w:rPr>
              <w:t>101</w:t>
            </w:r>
          </w:p>
        </w:tc>
        <w:tc>
          <w:tcPr>
            <w:tcW w:w="1180" w:type="dxa"/>
            <w:vAlign w:val="bottom"/>
            <w:vMerge w:val="restart"/>
          </w:tcPr>
          <w:p>
            <w:pPr>
              <w:jc w:val="right"/>
              <w:ind w:right="294"/>
              <w:spacing w:after="0"/>
              <w:rPr>
                <w:sz w:val="20"/>
                <w:szCs w:val="20"/>
                <w:color w:val="auto"/>
              </w:rPr>
            </w:pPr>
            <w:r>
              <w:rPr>
                <w:rFonts w:ascii="Arial" w:cs="Arial" w:eastAsia="Arial" w:hAnsi="Arial"/>
                <w:sz w:val="13"/>
                <w:szCs w:val="13"/>
                <w:color w:val="0000FF"/>
              </w:rPr>
              <w:t>101</w:t>
            </w:r>
          </w:p>
        </w:tc>
        <w:tc>
          <w:tcPr>
            <w:tcW w:w="440" w:type="dxa"/>
            <w:vAlign w:val="bottom"/>
            <w:vMerge w:val="restart"/>
          </w:tcPr>
          <w:p>
            <w:pPr>
              <w:ind w:left="360"/>
              <w:spacing w:after="0"/>
              <w:rPr>
                <w:sz w:val="20"/>
                <w:szCs w:val="20"/>
                <w:color w:val="auto"/>
              </w:rPr>
            </w:pPr>
            <w:r>
              <w:rPr>
                <w:rFonts w:ascii="Arial" w:cs="Arial" w:eastAsia="Arial" w:hAnsi="Arial"/>
                <w:sz w:val="11"/>
                <w:szCs w:val="11"/>
                <w:color w:val="0000FF"/>
                <w:w w:val="74"/>
              </w:rPr>
              <w:t>D</w:t>
            </w:r>
          </w:p>
        </w:tc>
        <w:tc>
          <w:tcPr>
            <w:tcW w:w="0" w:type="dxa"/>
            <w:vAlign w:val="bottom"/>
          </w:tcPr>
          <w:p>
            <w:pPr>
              <w:spacing w:after="0"/>
              <w:rPr>
                <w:sz w:val="1"/>
                <w:szCs w:val="1"/>
                <w:color w:val="auto"/>
              </w:rPr>
            </w:pPr>
          </w:p>
        </w:tc>
      </w:tr>
      <w:tr>
        <w:trPr>
          <w:trHeight w:val="114"/>
        </w:trPr>
        <w:tc>
          <w:tcPr>
            <w:tcW w:w="880" w:type="dxa"/>
            <w:vAlign w:val="bottom"/>
            <w:vMerge w:val="restart"/>
          </w:tcPr>
          <w:p>
            <w:pPr>
              <w:spacing w:after="0"/>
              <w:rPr>
                <w:sz w:val="20"/>
                <w:szCs w:val="20"/>
                <w:color w:val="auto"/>
              </w:rPr>
            </w:pPr>
            <w:r>
              <w:rPr>
                <w:rFonts w:ascii="Arial" w:cs="Arial" w:eastAsia="Arial" w:hAnsi="Arial"/>
                <w:sz w:val="13"/>
                <w:szCs w:val="13"/>
                <w:color w:val="0000FF"/>
              </w:rPr>
              <w:t>(Deferred</w:t>
            </w:r>
          </w:p>
        </w:tc>
        <w:tc>
          <w:tcPr>
            <w:tcW w:w="2700" w:type="dxa"/>
            <w:vAlign w:val="bottom"/>
            <w:vMerge w:val="continue"/>
          </w:tcPr>
          <w:p>
            <w:pPr>
              <w:spacing w:after="0"/>
              <w:rPr>
                <w:sz w:val="9"/>
                <w:szCs w:val="9"/>
                <w:color w:val="auto"/>
              </w:rPr>
            </w:pPr>
          </w:p>
        </w:tc>
        <w:tc>
          <w:tcPr>
            <w:tcW w:w="26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vMerge w:val="restart"/>
          </w:tcPr>
          <w:p>
            <w:pPr>
              <w:jc w:val="center"/>
              <w:ind w:left="14"/>
              <w:spacing w:after="0"/>
              <w:rPr>
                <w:sz w:val="20"/>
                <w:szCs w:val="20"/>
                <w:color w:val="auto"/>
              </w:rPr>
            </w:pPr>
            <w:r>
              <w:rPr>
                <w:rFonts w:ascii="Arial" w:cs="Arial" w:eastAsia="Arial" w:hAnsi="Arial"/>
                <w:sz w:val="13"/>
                <w:szCs w:val="13"/>
                <w:color w:val="0000FF"/>
                <w:w w:val="87"/>
              </w:rPr>
              <w:t>Shares</w:t>
            </w:r>
          </w:p>
        </w:tc>
        <w:tc>
          <w:tcPr>
            <w:tcW w:w="10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880" w:type="dxa"/>
            <w:vAlign w:val="bottom"/>
            <w:vMerge w:val="continue"/>
          </w:tcPr>
          <w:p>
            <w:pPr>
              <w:spacing w:after="0"/>
              <w:rPr>
                <w:sz w:val="3"/>
                <w:szCs w:val="3"/>
                <w:color w:val="auto"/>
              </w:rPr>
            </w:pPr>
          </w:p>
        </w:tc>
        <w:tc>
          <w:tcPr>
            <w:tcW w:w="2700" w:type="dxa"/>
            <w:vAlign w:val="bottom"/>
          </w:tcPr>
          <w:p>
            <w:pPr>
              <w:spacing w:after="0"/>
              <w:rPr>
                <w:sz w:val="3"/>
                <w:szCs w:val="3"/>
                <w:color w:val="auto"/>
              </w:rPr>
            </w:pPr>
          </w:p>
        </w:tc>
        <w:tc>
          <w:tcPr>
            <w:tcW w:w="2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is the sole shareholder of Renaissance Fund Advisors Inc.</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40" w:right="6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held in the Reporting Person's WTM deferred compensation account and are payable in cash upon the earlier of the date when the Reporting Person ceases to be a director of the Company or a date certain selected by the Reporting Person. The Reporting Person is scheduled to receive a final payout of the Phantom Shares in January 2011.</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9" w:lineRule="auto"/>
        <w:rPr>
          <w:sz w:val="20"/>
          <w:szCs w:val="20"/>
          <w:color w:val="auto"/>
        </w:rPr>
      </w:pPr>
      <w:r>
        <w:rPr>
          <w:rFonts w:ascii="Arial" w:cs="Arial" w:eastAsia="Arial" w:hAnsi="Arial"/>
          <w:sz w:val="17"/>
          <w:szCs w:val="17"/>
          <w:color w:val="0000FF"/>
        </w:rPr>
        <w:t xml:space="preserve">Jason R. Lichtenstein, by Power </w:t>
      </w:r>
      <w:r>
        <w:rPr>
          <w:rFonts w:ascii="Arial" w:cs="Arial" w:eastAsia="Arial" w:hAnsi="Arial"/>
          <w:sz w:val="34"/>
          <w:szCs w:val="34"/>
          <w:color w:val="0000FF"/>
          <w:vertAlign w:val="subscript"/>
        </w:rPr>
        <w:t>05/03/2010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508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147" w:gutter="0" w:footer="0" w:header="0"/>
          <w:type w:val="continuous"/>
        </w:sectPr>
      </w:pPr>
    </w:p>
    <w:bookmarkStart w:id="1" w:name="page2"/>
    <w:bookmarkEnd w:id="1"/>
    <w:p>
      <w:pPr>
        <w:ind w:right="409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8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left="420" w:hanging="414"/>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6" w:lineRule="exact"/>
        <w:rPr>
          <w:rFonts w:ascii="Courier New" w:cs="Courier New" w:eastAsia="Courier New" w:hAnsi="Courier New"/>
          <w:sz w:val="17"/>
          <w:szCs w:val="17"/>
          <w:color w:val="auto"/>
        </w:rPr>
      </w:pP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23rd day of June 2008.</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A. Michael Frinquelli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067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2019-12-18T12:48:53Z</dcterms:created>
  <dcterms:modified xsi:type="dcterms:W3CDTF">2019-12-18T12:48:53Z</dcterms:modified>
</cp:coreProperties>
</file>