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12/23/2009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12/23/2009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100</w:t>
            </w:r>
            <w:r>
              <w:rPr>
                <w:rFonts w:ascii="Arial" w:cs="Arial" w:eastAsia="Arial" w:hAnsi="Arial"/>
                <w:sz w:val="22"/>
                <w:szCs w:val="22"/>
                <w:color w:val="008000"/>
                <w:vertAlign w:val="superscript"/>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332.51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6"/>
              </w:rPr>
              <w:t>950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12/24/2009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jc w:val="center"/>
              <w:ind w:right="16"/>
              <w:spacing w:after="0" w:line="324" w:lineRule="exact"/>
              <w:rPr>
                <w:sz w:val="20"/>
                <w:szCs w:val="20"/>
                <w:color w:val="auto"/>
              </w:rPr>
            </w:pPr>
            <w:r>
              <w:rPr>
                <w:rFonts w:ascii="Arial" w:cs="Arial" w:eastAsia="Arial" w:hAnsi="Arial"/>
                <w:sz w:val="35"/>
                <w:szCs w:val="35"/>
                <w:color w:val="0000FF"/>
                <w:vertAlign w:val="subscript"/>
              </w:rPr>
              <w:t>50</w:t>
            </w:r>
            <w:r>
              <w:rPr>
                <w:rFonts w:ascii="Arial" w:cs="Arial" w:eastAsia="Arial" w:hAnsi="Arial"/>
                <w:sz w:val="11"/>
                <w:szCs w:val="11"/>
                <w:color w:val="008000"/>
              </w:rPr>
              <w:t>(1)</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330.03</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1"/>
              <w:spacing w:after="0"/>
              <w:rPr>
                <w:sz w:val="20"/>
                <w:szCs w:val="20"/>
                <w:color w:val="auto"/>
              </w:rPr>
            </w:pPr>
            <w:r>
              <w:rPr>
                <w:rFonts w:ascii="Arial" w:cs="Arial" w:eastAsia="Arial" w:hAnsi="Arial"/>
                <w:sz w:val="18"/>
                <w:szCs w:val="18"/>
                <w:color w:val="0000FF"/>
                <w:w w:val="88"/>
              </w:rPr>
              <w:t>1,000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1"/>
              <w:spacing w:after="0"/>
              <w:rPr>
                <w:sz w:val="20"/>
                <w:szCs w:val="20"/>
                <w:color w:val="auto"/>
              </w:rPr>
            </w:pPr>
            <w:r>
              <w:rPr>
                <w:rFonts w:ascii="Arial" w:cs="Arial" w:eastAsia="Arial" w:hAnsi="Arial"/>
                <w:sz w:val="18"/>
                <w:szCs w:val="18"/>
                <w:color w:val="0000FF"/>
                <w:w w:val="88"/>
              </w:rPr>
              <w:t>6,500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1"/>
              <w:spacing w:after="0"/>
              <w:rPr>
                <w:sz w:val="20"/>
                <w:szCs w:val="20"/>
                <w:color w:val="auto"/>
              </w:rPr>
            </w:pPr>
            <w:r>
              <w:rPr>
                <w:rFonts w:ascii="Arial" w:cs="Arial" w:eastAsia="Arial" w:hAnsi="Arial"/>
                <w:sz w:val="18"/>
                <w:szCs w:val="18"/>
                <w:color w:val="0000FF"/>
                <w:w w:val="83"/>
              </w:rPr>
              <w:t>288</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acquired in open market transaction.</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110 WTM Common Shares in Reporting Person's company 401(k) account since his last filed report. WTM Common Shares are purchased at fair market value on the date of purchase. The information in this report is based on a plan statement dated as of November 30, 2009.</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12/28/2009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2019-12-18T12:44:18Z</dcterms:created>
  <dcterms:modified xsi:type="dcterms:W3CDTF">2019-12-18T12:44:18Z</dcterms:modified>
</cp:coreProperties>
</file>