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955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556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72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80"/>
        <w:spacing w:after="0" w:line="351"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6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4"/>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7"/>
                <w:szCs w:val="17"/>
                <w:color w:val="auto"/>
              </w:rPr>
            </w:pPr>
          </w:p>
        </w:tc>
        <w:tc>
          <w:tcPr>
            <w:tcW w:w="2920" w:type="dxa"/>
            <w:vAlign w:val="bottom"/>
            <w:gridSpan w:val="2"/>
          </w:tcPr>
          <w:p>
            <w:pPr>
              <w:ind w:left="520"/>
              <w:spacing w:after="0"/>
              <w:rPr>
                <w:sz w:val="20"/>
                <w:szCs w:val="20"/>
                <w:color w:val="auto"/>
              </w:rPr>
            </w:pPr>
            <w:r>
              <w:rPr>
                <w:rFonts w:ascii="Arial" w:cs="Arial" w:eastAsia="Arial" w:hAnsi="Arial"/>
                <w:sz w:val="17"/>
                <w:szCs w:val="17"/>
                <w:color w:val="0000FF"/>
              </w:rPr>
              <w:t>Pres., WM Advisors</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03/23/2005</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21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61" w:lineRule="exact"/>
        <w:rPr>
          <w:sz w:val="20"/>
          <w:szCs w:val="20"/>
          <w:color w:val="auto"/>
        </w:rPr>
      </w:pPr>
    </w:p>
    <w:p>
      <w:pPr>
        <w:sectPr>
          <w:pgSz w:w="11900" w:h="16838" w:orient="portrait"/>
          <w:cols w:equalWidth="0" w:num="2">
            <w:col w:w="3900" w:space="100"/>
            <w:col w:w="7520"/>
          </w:cols>
          <w:pgMar w:left="240" w:top="224" w:right="139" w:bottom="72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1,676</w:t>
            </w:r>
          </w:p>
        </w:tc>
        <w:tc>
          <w:tcPr>
            <w:tcW w:w="360" w:type="dxa"/>
            <w:vAlign w:val="bottom"/>
          </w:tcPr>
          <w:p>
            <w:pPr>
              <w:spacing w:after="0"/>
              <w:rPr>
                <w:sz w:val="22"/>
                <w:szCs w:val="22"/>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62,000</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left="376"/>
              <w:spacing w:after="0"/>
              <w:rPr>
                <w:sz w:val="20"/>
                <w:szCs w:val="20"/>
                <w:color w:val="auto"/>
              </w:rPr>
            </w:pPr>
            <w:r>
              <w:rPr>
                <w:rFonts w:ascii="Arial" w:cs="Arial" w:eastAsia="Arial" w:hAnsi="Arial"/>
                <w:sz w:val="17"/>
                <w:szCs w:val="17"/>
                <w:color w:val="0000FF"/>
                <w:w w:val="94"/>
              </w:rPr>
              <w:t>22</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376"/>
              <w:spacing w:after="0" w:line="317" w:lineRule="exact"/>
              <w:rPr>
                <w:sz w:val="20"/>
                <w:szCs w:val="20"/>
                <w:color w:val="auto"/>
              </w:rPr>
            </w:pPr>
            <w:r>
              <w:rPr>
                <w:rFonts w:ascii="Arial" w:cs="Arial" w:eastAsia="Arial" w:hAnsi="Arial"/>
                <w:sz w:val="34"/>
                <w:szCs w:val="34"/>
                <w:color w:val="0000FF"/>
                <w:w w:val="84"/>
                <w:vertAlign w:val="subscript"/>
              </w:rPr>
              <w:t>9</w:t>
            </w:r>
            <w:r>
              <w:rPr>
                <w:rFonts w:ascii="Arial" w:cs="Arial" w:eastAsia="Arial" w:hAnsi="Arial"/>
                <w:sz w:val="11"/>
                <w:szCs w:val="11"/>
                <w:color w:val="008000"/>
                <w:w w:val="84"/>
              </w:rPr>
              <w:t>(2)</w:t>
            </w: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I</w:t>
            </w:r>
          </w:p>
        </w:tc>
        <w:tc>
          <w:tcPr>
            <w:tcW w:w="100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By ESOP</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320" w:type="dxa"/>
            <w:vAlign w:val="bottom"/>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0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03/23/2005</w:t>
            </w:r>
          </w:p>
        </w:tc>
        <w:tc>
          <w:tcPr>
            <w:tcW w:w="1100" w:type="dxa"/>
            <w:vAlign w:val="bottom"/>
          </w:tcPr>
          <w:p>
            <w:pPr>
              <w:spacing w:after="0"/>
              <w:rPr>
                <w:sz w:val="12"/>
                <w:szCs w:val="12"/>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12"/>
                <w:szCs w:val="12"/>
                <w:color w:val="auto"/>
              </w:rPr>
            </w:pPr>
          </w:p>
        </w:tc>
        <w:tc>
          <w:tcPr>
            <w:tcW w:w="720" w:type="dxa"/>
            <w:vAlign w:val="bottom"/>
            <w:vMerge w:val="restart"/>
          </w:tcPr>
          <w:p>
            <w:pPr>
              <w:spacing w:after="0" w:line="273" w:lineRule="exact"/>
              <w:rPr>
                <w:sz w:val="20"/>
                <w:szCs w:val="20"/>
                <w:color w:val="auto"/>
              </w:rPr>
            </w:pPr>
            <w:r>
              <w:rPr>
                <w:rFonts w:ascii="Arial" w:cs="Arial" w:eastAsia="Arial" w:hAnsi="Arial"/>
                <w:sz w:val="26"/>
                <w:szCs w:val="26"/>
                <w:color w:val="0000FF"/>
                <w:vertAlign w:val="subscript"/>
              </w:rPr>
              <w:t>12</w:t>
            </w:r>
            <w:r>
              <w:rPr>
                <w:rFonts w:ascii="Arial" w:cs="Arial" w:eastAsia="Arial" w:hAnsi="Arial"/>
                <w:sz w:val="11"/>
                <w:szCs w:val="11"/>
                <w:color w:val="008000"/>
              </w:rPr>
              <w:t>(4)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12</w:t>
            </w:r>
          </w:p>
        </w:tc>
        <w:tc>
          <w:tcPr>
            <w:tcW w:w="40" w:type="dxa"/>
            <w:vAlign w:val="bottom"/>
          </w:tcPr>
          <w:p>
            <w:pPr>
              <w:spacing w:after="0"/>
              <w:rPr>
                <w:sz w:val="12"/>
                <w:szCs w:val="12"/>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630.75</w:t>
            </w:r>
            <w:r>
              <w:rPr>
                <w:rFonts w:ascii="Arial" w:cs="Arial" w:eastAsia="Arial" w:hAnsi="Arial"/>
                <w:sz w:val="22"/>
                <w:szCs w:val="22"/>
                <w:color w:val="008000"/>
                <w:vertAlign w:val="superscript"/>
              </w:rPr>
              <w:t>(6)</w:t>
            </w:r>
          </w:p>
        </w:tc>
        <w:tc>
          <w:tcPr>
            <w:tcW w:w="840" w:type="dxa"/>
            <w:vAlign w:val="bottom"/>
            <w:gridSpan w:val="2"/>
            <w:vMerge w:val="restart"/>
          </w:tcPr>
          <w:p>
            <w:pPr>
              <w:ind w:left="260"/>
              <w:spacing w:after="0"/>
              <w:rPr>
                <w:sz w:val="20"/>
                <w:szCs w:val="20"/>
                <w:color w:val="auto"/>
              </w:rPr>
            </w:pPr>
            <w:r>
              <w:rPr>
                <w:rFonts w:ascii="Arial" w:cs="Arial" w:eastAsia="Arial" w:hAnsi="Arial"/>
                <w:sz w:val="13"/>
                <w:szCs w:val="13"/>
                <w:color w:val="0000FF"/>
              </w:rPr>
              <w:t>4,020</w:t>
            </w:r>
          </w:p>
        </w:tc>
        <w:tc>
          <w:tcPr>
            <w:tcW w:w="56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60" w:firstLine="6"/>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41,122 Common Shares; Prospector Offshore Fund (Bermuda) Ltd. ("Prospector Offshore") is the beneficial owner of 16,720 Common Shares; and Prospector Parnters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2" w:lineRule="exact"/>
        <w:rPr>
          <w:rFonts w:ascii="Arial" w:cs="Arial" w:eastAsia="Arial" w:hAnsi="Arial"/>
          <w:sz w:val="13"/>
          <w:szCs w:val="13"/>
          <w:color w:val="008000"/>
        </w:rPr>
      </w:pPr>
    </w:p>
    <w:p>
      <w:pPr>
        <w:ind w:left="40" w:right="30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March 26, 2004, the date of Reporting Person's last filing, Reporting Person acquired 4 shares of WTM's Common Shares under the OneBeacon Employee Stock Ownership Plan. WTM Common Shares are purchased at fair market value on the date of purchase. The information in this report is based on a plan statement dated as of March 10, 2005.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5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23, 2005,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40" w:right="42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 in accordance with the terms of the deferred compensation plan.</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Dividends are automatically invested in Phantom Shares at the fair market price per share of the underlying WTM Common Shares on March 23, 2005, the date the dividends are deemed to be paid.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7" w:lineRule="auto"/>
        <w:rPr>
          <w:sz w:val="20"/>
          <w:szCs w:val="20"/>
          <w:color w:val="auto"/>
        </w:rPr>
      </w:pPr>
      <w:r>
        <w:rPr>
          <w:rFonts w:ascii="Arial" w:cs="Arial" w:eastAsia="Arial" w:hAnsi="Arial"/>
          <w:sz w:val="17"/>
          <w:szCs w:val="17"/>
          <w:color w:val="0000FF"/>
        </w:rPr>
        <w:t xml:space="preserve">Dennis P. Beaulieu, by Power of </w:t>
      </w:r>
      <w:r>
        <w:rPr>
          <w:rFonts w:ascii="Arial" w:cs="Arial" w:eastAsia="Arial" w:hAnsi="Arial"/>
          <w:sz w:val="34"/>
          <w:szCs w:val="34"/>
          <w:color w:val="0000FF"/>
          <w:vertAlign w:val="subscript"/>
        </w:rPr>
        <w:t>03/24/2005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416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38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798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722" w:gutter="0" w:footer="0" w:header="0"/>
          <w:type w:val="continuous"/>
        </w:sectPr>
      </w:pPr>
    </w:p>
    <w:bookmarkStart w:id="1" w:name="page2"/>
    <w:bookmarkEnd w:id="1"/>
    <w:p>
      <w:pPr>
        <w:ind w:right="44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Dennis P. Beaulieu, Secretary, and Robert L. Seelig, General Counsel of White Mountains Insurance Group, Ltd.,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28th day of April, 2003.</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2019-12-17T11:34:09Z</dcterms:created>
  <dcterms:modified xsi:type="dcterms:W3CDTF">2019-12-17T11:34:09Z</dcterms:modified>
</cp:coreProperties>
</file>