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WATERS ALLAN LEWIS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80"/>
              <w:spacing w:after="0" w:line="188" w:lineRule="exact"/>
              <w:rPr>
                <w:sz w:val="20"/>
                <w:szCs w:val="20"/>
                <w:color w:val="auto"/>
              </w:rPr>
            </w:pPr>
            <w:r>
              <w:rPr>
                <w:rFonts w:ascii="Arial" w:cs="Arial" w:eastAsia="Arial" w:hAnsi="Arial"/>
                <w:sz w:val="18"/>
                <w:szCs w:val="18"/>
                <w:color w:val="0000FF"/>
              </w:rPr>
              <w:t>CEO - Sirius Int'l Ins. Group</w:t>
            </w: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01/01/2015</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5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01/01/2015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588</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630.11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2,535</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10,119</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center"/>
              <w:ind w:right="334"/>
              <w:spacing w:after="0"/>
              <w:rPr>
                <w:sz w:val="20"/>
                <w:szCs w:val="20"/>
                <w:color w:val="auto"/>
              </w:rPr>
            </w:pPr>
            <w:r>
              <w:rPr>
                <w:rFonts w:ascii="Arial" w:cs="Arial" w:eastAsia="Arial" w:hAnsi="Arial"/>
                <w:sz w:val="18"/>
                <w:szCs w:val="18"/>
                <w:color w:val="0000FF"/>
                <w:w w:val="88"/>
              </w:rPr>
              <w:t>7,820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54"/>
              <w:spacing w:after="0"/>
              <w:rPr>
                <w:sz w:val="20"/>
                <w:szCs w:val="20"/>
                <w:color w:val="auto"/>
              </w:rPr>
            </w:pPr>
            <w:r>
              <w:rPr>
                <w:rFonts w:ascii="Arial" w:cs="Arial" w:eastAsia="Arial" w:hAnsi="Arial"/>
                <w:sz w:val="18"/>
                <w:szCs w:val="18"/>
                <w:color w:val="0000FF"/>
                <w:w w:val="86"/>
              </w:rPr>
              <w:t>300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4120" w:type="dxa"/>
            <w:vAlign w:val="bottom"/>
            <w:tcBorders>
              <w:bottom w:val="single" w:sz="8" w:color="2C2C2C"/>
            </w:tcBorders>
            <w:gridSpan w:val="8"/>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 January 1, 2015, 1,485 restricted WTM Common Shares became unrestricted. 588 of the Common Shares were withheld by the Company to satisfy the Reporting Person's tax obligations.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01/01/2015</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October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Allan L. Waters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73"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2019-12-24T06:39:38Z</dcterms:created>
  <dcterms:modified xsi:type="dcterms:W3CDTF">2019-12-24T06:39:38Z</dcterms:modified>
</cp:coreProperties>
</file>