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14565" cy="5222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522224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60"/>
          </w:cols>
          <w:pgMar w:left="240" w:top="226" w:right="17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LUSARDI ROBERT 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0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4"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180" w:type="dxa"/>
            <w:vAlign w:val="bottom"/>
            <w:tcBorders>
              <w:bottom w:val="single" w:sz="8" w:color="0000EE"/>
            </w:tcBorders>
          </w:tcPr>
          <w:p>
            <w:pPr>
              <w:spacing w:after="0"/>
              <w:rPr>
                <w:sz w:val="3"/>
                <w:szCs w:val="3"/>
                <w:color w:val="auto"/>
              </w:rPr>
            </w:pPr>
          </w:p>
        </w:tc>
        <w:tc>
          <w:tcPr>
            <w:tcW w:w="2140" w:type="dxa"/>
            <w:vAlign w:val="bottom"/>
            <w:tcBorders>
              <w:bottom w:val="single" w:sz="8" w:color="0000EE"/>
            </w:tcBorders>
          </w:tcPr>
          <w:p>
            <w:pPr>
              <w:spacing w:after="0"/>
              <w:rPr>
                <w:sz w:val="3"/>
                <w:szCs w:val="3"/>
                <w:color w:val="auto"/>
              </w:rPr>
            </w:pPr>
          </w:p>
        </w:tc>
        <w:tc>
          <w:tcPr>
            <w:tcW w:w="5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3900" w:type="dxa"/>
            <w:vAlign w:val="bottom"/>
            <w:gridSpan w:val="3"/>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GROUP LTD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WTM</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50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80" w:type="dxa"/>
            <w:vAlign w:val="bottom"/>
          </w:tcPr>
          <w:p>
            <w:pPr>
              <w:spacing w:after="0"/>
              <w:rPr>
                <w:sz w:val="8"/>
                <w:szCs w:val="8"/>
                <w:color w:val="auto"/>
              </w:rPr>
            </w:pPr>
          </w:p>
        </w:tc>
        <w:tc>
          <w:tcPr>
            <w:tcW w:w="3900" w:type="dxa"/>
            <w:vAlign w:val="bottom"/>
            <w:gridSpan w:val="3"/>
            <w:vMerge w:val="continue"/>
          </w:tcPr>
          <w:p>
            <w:pPr>
              <w:spacing w:after="0"/>
              <w:rPr>
                <w:sz w:val="8"/>
                <w:szCs w:val="8"/>
                <w:color w:val="auto"/>
              </w:rPr>
            </w:pPr>
          </w:p>
        </w:tc>
        <w:tc>
          <w:tcPr>
            <w:tcW w:w="50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4"/>
        </w:trPr>
        <w:tc>
          <w:tcPr>
            <w:tcW w:w="80" w:type="dxa"/>
            <w:vAlign w:val="bottom"/>
          </w:tcPr>
          <w:p>
            <w:pPr>
              <w:spacing w:after="0"/>
              <w:rPr>
                <w:sz w:val="6"/>
                <w:szCs w:val="6"/>
                <w:color w:val="auto"/>
              </w:rPr>
            </w:pPr>
          </w:p>
        </w:tc>
        <w:tc>
          <w:tcPr>
            <w:tcW w:w="1180" w:type="dxa"/>
            <w:vAlign w:val="bottom"/>
            <w:tcBorders>
              <w:top w:val="single" w:sz="8" w:color="0000EE"/>
            </w:tcBorders>
          </w:tcPr>
          <w:p>
            <w:pPr>
              <w:spacing w:after="0"/>
              <w:rPr>
                <w:sz w:val="6"/>
                <w:szCs w:val="6"/>
                <w:color w:val="auto"/>
              </w:rPr>
            </w:pPr>
          </w:p>
        </w:tc>
        <w:tc>
          <w:tcPr>
            <w:tcW w:w="2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1420" w:type="dxa"/>
            <w:vAlign w:val="bottom"/>
            <w:vMerge w:val="continue"/>
          </w:tcPr>
          <w:p>
            <w:pPr>
              <w:spacing w:after="0"/>
              <w:rPr>
                <w:sz w:val="6"/>
                <w:szCs w:val="6"/>
                <w:color w:val="auto"/>
              </w:rPr>
            </w:pPr>
          </w:p>
        </w:tc>
        <w:tc>
          <w:tcPr>
            <w:tcW w:w="1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21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00" w:type="dxa"/>
            <w:vAlign w:val="bottom"/>
          </w:tcPr>
          <w:p>
            <w:pPr>
              <w:spacing w:after="0"/>
              <w:rPr>
                <w:sz w:val="5"/>
                <w:szCs w:val="5"/>
                <w:color w:val="auto"/>
              </w:rPr>
            </w:pPr>
          </w:p>
        </w:tc>
        <w:tc>
          <w:tcPr>
            <w:tcW w:w="2920" w:type="dxa"/>
            <w:vAlign w:val="bottom"/>
            <w:gridSpan w:val="2"/>
            <w:vMerge w:val="restart"/>
          </w:tcPr>
          <w:p>
            <w:pPr>
              <w:ind w:left="100"/>
              <w:spacing w:after="0"/>
              <w:rPr>
                <w:sz w:val="20"/>
                <w:szCs w:val="20"/>
                <w:color w:val="auto"/>
              </w:rPr>
            </w:pPr>
            <w:r>
              <w:rPr>
                <w:rFonts w:ascii="Arial" w:cs="Arial" w:eastAsia="Arial" w:hAnsi="Arial"/>
                <w:sz w:val="18"/>
                <w:szCs w:val="18"/>
                <w:color w:val="0000FF"/>
              </w:rPr>
              <w:t>EVP - White Mountains Capital</w:t>
            </w: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3. Date of Earliest Transaction (Month/Day/Year)</w:t>
            </w:r>
          </w:p>
        </w:tc>
        <w:tc>
          <w:tcPr>
            <w:tcW w:w="500" w:type="dxa"/>
            <w:vAlign w:val="bottom"/>
          </w:tcPr>
          <w:p>
            <w:pPr>
              <w:spacing w:after="0"/>
              <w:rPr>
                <w:sz w:val="16"/>
                <w:szCs w:val="16"/>
                <w:color w:val="auto"/>
              </w:rPr>
            </w:pPr>
          </w:p>
        </w:tc>
        <w:tc>
          <w:tcPr>
            <w:tcW w:w="29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260" w:type="dxa"/>
            <w:vAlign w:val="bottom"/>
            <w:gridSpan w:val="2"/>
          </w:tcPr>
          <w:p>
            <w:pPr>
              <w:ind w:left="80"/>
              <w:spacing w:after="0"/>
              <w:rPr>
                <w:sz w:val="20"/>
                <w:szCs w:val="20"/>
                <w:color w:val="auto"/>
              </w:rPr>
            </w:pPr>
            <w:r>
              <w:rPr>
                <w:rFonts w:ascii="Arial" w:cs="Arial" w:eastAsia="Arial" w:hAnsi="Arial"/>
                <w:sz w:val="18"/>
                <w:szCs w:val="18"/>
                <w:color w:val="0000FF"/>
              </w:rPr>
              <w:t>06/25/2008</w:t>
            </w:r>
          </w:p>
        </w:tc>
        <w:tc>
          <w:tcPr>
            <w:tcW w:w="2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80" w:type="dxa"/>
            <w:vAlign w:val="bottom"/>
            <w:tcBorders>
              <w:bottom w:val="single" w:sz="8" w:color="2C2C2C"/>
            </w:tcBorders>
          </w:tcPr>
          <w:p>
            <w:pPr>
              <w:spacing w:after="0"/>
              <w:rPr>
                <w:sz w:val="20"/>
                <w:szCs w:val="20"/>
                <w:color w:val="auto"/>
              </w:rPr>
            </w:pPr>
          </w:p>
        </w:tc>
        <w:tc>
          <w:tcPr>
            <w:tcW w:w="1180" w:type="dxa"/>
            <w:vAlign w:val="bottom"/>
            <w:tcBorders>
              <w:bottom w:val="single" w:sz="8" w:color="2C2C2C"/>
            </w:tcBorders>
          </w:tcPr>
          <w:p>
            <w:pPr>
              <w:spacing w:after="0"/>
              <w:rPr>
                <w:sz w:val="20"/>
                <w:szCs w:val="20"/>
                <w:color w:val="auto"/>
              </w:rPr>
            </w:pPr>
          </w:p>
        </w:tc>
        <w:tc>
          <w:tcPr>
            <w:tcW w:w="214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3420" w:type="dxa"/>
            <w:vAlign w:val="bottom"/>
            <w:tcBorders>
              <w:bottom w:val="single" w:sz="8" w:color="2C2C2C"/>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96" w:lineRule="exact"/>
        <w:rPr>
          <w:sz w:val="20"/>
          <w:szCs w:val="20"/>
          <w:color w:val="auto"/>
        </w:rPr>
      </w:pPr>
    </w:p>
    <w:p>
      <w:pPr>
        <w:sectPr>
          <w:pgSz w:w="11900" w:h="16838" w:orient="portrait"/>
          <w:cols w:equalWidth="0" w:num="2">
            <w:col w:w="3920" w:space="80"/>
            <w:col w:w="7480"/>
          </w:cols>
          <w:pgMar w:left="240" w:top="226" w:right="179" w:bottom="1440" w:gutter="0" w:footer="0" w:header="0"/>
          <w:type w:val="continuous"/>
        </w:sectPr>
      </w:pPr>
    </w:p>
    <w:p>
      <w:pPr>
        <w:jc w:val="center"/>
        <w:ind w:right="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gridSpan w:val="2"/>
          </w:tcPr>
          <w:p>
            <w:pPr>
              <w:ind w:left="76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spacing w:after="0"/>
              <w:rPr>
                <w:sz w:val="14"/>
                <w:szCs w:val="14"/>
                <w:color w:val="auto"/>
              </w:rPr>
            </w:pP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4"/>
                <w:szCs w:val="14"/>
                <w:color w:val="auto"/>
              </w:rPr>
            </w:pPr>
          </w:p>
        </w:tc>
        <w:tc>
          <w:tcPr>
            <w:tcW w:w="18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10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14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80" w:type="dxa"/>
            <w:vAlign w:val="bottom"/>
            <w:gridSpan w:val="2"/>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2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4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5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40"/>
              <w:spacing w:after="0" w:line="135" w:lineRule="exact"/>
              <w:rPr>
                <w:sz w:val="20"/>
                <w:szCs w:val="20"/>
                <w:color w:val="auto"/>
              </w:rPr>
            </w:pPr>
            <w:r>
              <w:rPr>
                <w:rFonts w:ascii="Arial" w:cs="Arial" w:eastAsia="Arial" w:hAnsi="Arial"/>
                <w:sz w:val="12"/>
                <w:szCs w:val="12"/>
                <w:b w:val="1"/>
                <w:bCs w:val="1"/>
                <w:color w:val="auto"/>
                <w:w w:val="99"/>
              </w:rPr>
              <w:t>(A) or</w:t>
            </w:r>
          </w:p>
        </w:tc>
        <w:tc>
          <w:tcPr>
            <w:tcW w:w="60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68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40" w:type="dxa"/>
            <w:vAlign w:val="bottom"/>
          </w:tcPr>
          <w:p>
            <w:pPr>
              <w:ind w:left="40"/>
              <w:spacing w:after="0"/>
              <w:rPr>
                <w:sz w:val="20"/>
                <w:szCs w:val="20"/>
                <w:color w:val="auto"/>
              </w:rPr>
            </w:pPr>
            <w:r>
              <w:rPr>
                <w:rFonts w:ascii="Arial" w:cs="Arial" w:eastAsia="Arial" w:hAnsi="Arial"/>
                <w:sz w:val="18"/>
                <w:szCs w:val="18"/>
                <w:color w:val="0000FF"/>
              </w:rPr>
              <w:t>5</w:t>
            </w:r>
          </w:p>
        </w:tc>
        <w:tc>
          <w:tcPr>
            <w:tcW w:w="960" w:type="dxa"/>
            <w:vAlign w:val="bottom"/>
          </w:tcPr>
          <w:p>
            <w:pPr>
              <w:ind w:left="40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401(k)</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680" w:type="dxa"/>
            <w:vAlign w:val="bottom"/>
            <w:tcBorders>
              <w:bottom w:val="single" w:sz="8" w:color="2C2C2C"/>
            </w:tcBorders>
            <w:gridSpan w:val="10"/>
          </w:tcPr>
          <w:p>
            <w:pPr>
              <w:spacing w:after="0"/>
              <w:rPr>
                <w:sz w:val="8"/>
                <w:szCs w:val="8"/>
                <w:color w:val="auto"/>
              </w:rPr>
            </w:pPr>
          </w:p>
        </w:tc>
        <w:tc>
          <w:tcPr>
            <w:tcW w:w="200" w:type="dxa"/>
            <w:vAlign w:val="bottom"/>
            <w:tcBorders>
              <w:bottom w:val="single" w:sz="8" w:color="2C2C2C"/>
            </w:tcBorders>
            <w:gridSpan w:val="2"/>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00" w:type="dxa"/>
            <w:vAlign w:val="bottom"/>
            <w:tcBorders>
              <w:top w:val="single" w:sz="8" w:color="2C2C2C"/>
            </w:tcBorders>
            <w:gridSpan w:val="13"/>
          </w:tcPr>
          <w:p>
            <w:pPr>
              <w:ind w:left="102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4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00" w:type="dxa"/>
            <w:vAlign w:val="bottom"/>
            <w:gridSpan w:val="10"/>
          </w:tcPr>
          <w:p>
            <w:pPr>
              <w:ind w:left="62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4"/>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7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    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Transaction</w:t>
            </w: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10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Acquired</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Disposed</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 (D)</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(Instr. 3, 4</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4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Exercisable</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Phantom</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vMerge w:val="restart"/>
          </w:tcPr>
          <w:p>
            <w:pPr>
              <w:ind w:left="260"/>
              <w:spacing w:after="0"/>
              <w:rPr>
                <w:sz w:val="20"/>
                <w:szCs w:val="20"/>
                <w:color w:val="auto"/>
              </w:rPr>
            </w:pPr>
            <w:r>
              <w:rPr>
                <w:rFonts w:ascii="Arial" w:cs="Arial" w:eastAsia="Arial" w:hAnsi="Arial"/>
                <w:sz w:val="14"/>
                <w:szCs w:val="14"/>
                <w:color w:val="0000FF"/>
              </w:rPr>
              <w:t>06/25/2008</w:t>
            </w:r>
          </w:p>
        </w:tc>
        <w:tc>
          <w:tcPr>
            <w:tcW w:w="1140" w:type="dxa"/>
            <w:vAlign w:val="bottom"/>
          </w:tcPr>
          <w:p>
            <w:pPr>
              <w:spacing w:after="0"/>
              <w:rPr>
                <w:sz w:val="16"/>
                <w:szCs w:val="16"/>
                <w:color w:val="auto"/>
              </w:rPr>
            </w:pPr>
          </w:p>
        </w:tc>
        <w:tc>
          <w:tcPr>
            <w:tcW w:w="740" w:type="dxa"/>
            <w:vAlign w:val="bottom"/>
            <w:vMerge w:val="restart"/>
          </w:tcPr>
          <w:p>
            <w:pPr>
              <w:ind w:left="160"/>
              <w:spacing w:after="0"/>
              <w:rPr>
                <w:sz w:val="20"/>
                <w:szCs w:val="20"/>
                <w:color w:val="auto"/>
              </w:rPr>
            </w:pPr>
            <w:r>
              <w:rPr>
                <w:rFonts w:ascii="Arial" w:cs="Arial" w:eastAsia="Arial" w:hAnsi="Arial"/>
                <w:sz w:val="14"/>
                <w:szCs w:val="14"/>
                <w:color w:val="0000FF"/>
              </w:rPr>
              <w:t>A</w:t>
            </w:r>
          </w:p>
        </w:tc>
        <w:tc>
          <w:tcPr>
            <w:tcW w:w="840" w:type="dxa"/>
            <w:vAlign w:val="bottom"/>
            <w:vMerge w:val="restart"/>
          </w:tcPr>
          <w:p>
            <w:pPr>
              <w:ind w:left="180"/>
              <w:spacing w:after="0"/>
              <w:rPr>
                <w:sz w:val="20"/>
                <w:szCs w:val="20"/>
                <w:color w:val="auto"/>
              </w:rPr>
            </w:pPr>
            <w:r>
              <w:rPr>
                <w:rFonts w:ascii="Arial" w:cs="Arial" w:eastAsia="Arial" w:hAnsi="Arial"/>
                <w:sz w:val="27"/>
                <w:szCs w:val="27"/>
                <w:color w:val="0000FF"/>
                <w:vertAlign w:val="subscript"/>
              </w:rPr>
              <w:t>2</w:t>
            </w:r>
            <w:r>
              <w:rPr>
                <w:rFonts w:ascii="Arial" w:cs="Arial" w:eastAsia="Arial" w:hAnsi="Arial"/>
                <w:sz w:val="11"/>
                <w:szCs w:val="11"/>
                <w:color w:val="008000"/>
              </w:rPr>
              <w:t>(2)</w:t>
            </w:r>
          </w:p>
        </w:tc>
        <w:tc>
          <w:tcPr>
            <w:tcW w:w="240" w:type="dxa"/>
            <w:vAlign w:val="bottom"/>
          </w:tcPr>
          <w:p>
            <w:pPr>
              <w:spacing w:after="0"/>
              <w:rPr>
                <w:sz w:val="16"/>
                <w:szCs w:val="16"/>
                <w:color w:val="auto"/>
              </w:rPr>
            </w:pPr>
          </w:p>
        </w:tc>
        <w:tc>
          <w:tcPr>
            <w:tcW w:w="500" w:type="dxa"/>
            <w:vAlign w:val="bottom"/>
            <w:vMerge w:val="restart"/>
          </w:tcPr>
          <w:p>
            <w:pPr>
              <w:ind w:left="100"/>
              <w:spacing w:after="0"/>
              <w:rPr>
                <w:sz w:val="20"/>
                <w:szCs w:val="20"/>
                <w:color w:val="auto"/>
              </w:rPr>
            </w:pPr>
            <w:r>
              <w:rPr>
                <w:rFonts w:ascii="Arial" w:cs="Arial" w:eastAsia="Arial" w:hAnsi="Arial"/>
                <w:sz w:val="11"/>
                <w:szCs w:val="11"/>
                <w:color w:val="008000"/>
              </w:rPr>
              <w:t>(3)</w:t>
            </w:r>
          </w:p>
        </w:tc>
        <w:tc>
          <w:tcPr>
            <w:tcW w:w="340" w:type="dxa"/>
            <w:vAlign w:val="bottom"/>
          </w:tcPr>
          <w:p>
            <w:pPr>
              <w:spacing w:after="0"/>
              <w:rPr>
                <w:sz w:val="16"/>
                <w:szCs w:val="16"/>
                <w:color w:val="auto"/>
              </w:rPr>
            </w:pPr>
          </w:p>
        </w:tc>
        <w:tc>
          <w:tcPr>
            <w:tcW w:w="520" w:type="dxa"/>
            <w:vAlign w:val="bottom"/>
            <w:vMerge w:val="restart"/>
          </w:tcPr>
          <w:p>
            <w:pPr>
              <w:ind w:left="40"/>
              <w:spacing w:after="0"/>
              <w:rPr>
                <w:sz w:val="20"/>
                <w:szCs w:val="20"/>
                <w:color w:val="auto"/>
              </w:rPr>
            </w:pPr>
            <w:r>
              <w:rPr>
                <w:rFonts w:ascii="Arial" w:cs="Arial" w:eastAsia="Arial" w:hAnsi="Arial"/>
                <w:sz w:val="11"/>
                <w:szCs w:val="11"/>
                <w:color w:val="008000"/>
              </w:rPr>
              <w:t>(3)</w:t>
            </w:r>
          </w:p>
        </w:tc>
        <w:tc>
          <w:tcPr>
            <w:tcW w:w="680" w:type="dxa"/>
            <w:vAlign w:val="bottom"/>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180"/>
              <w:spacing w:after="0"/>
              <w:rPr>
                <w:sz w:val="20"/>
                <w:szCs w:val="20"/>
                <w:color w:val="auto"/>
              </w:rPr>
            </w:pPr>
            <w:r>
              <w:rPr>
                <w:rFonts w:ascii="Arial" w:cs="Arial" w:eastAsia="Arial" w:hAnsi="Arial"/>
                <w:sz w:val="18"/>
                <w:szCs w:val="18"/>
                <w:color w:val="0000FF"/>
              </w:rPr>
              <w:t>2</w:t>
            </w:r>
          </w:p>
        </w:tc>
        <w:tc>
          <w:tcPr>
            <w:tcW w:w="60" w:type="dxa"/>
            <w:vAlign w:val="bottom"/>
          </w:tcPr>
          <w:p>
            <w:pPr>
              <w:spacing w:after="0"/>
              <w:rPr>
                <w:sz w:val="16"/>
                <w:szCs w:val="16"/>
                <w:color w:val="auto"/>
              </w:rPr>
            </w:pP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440</w:t>
            </w:r>
            <w:r>
              <w:rPr>
                <w:rFonts w:ascii="Arial" w:cs="Arial" w:eastAsia="Arial" w:hAnsi="Arial"/>
                <w:sz w:val="22"/>
                <w:szCs w:val="22"/>
                <w:color w:val="008000"/>
                <w:vertAlign w:val="superscript"/>
              </w:rPr>
              <w:t>(4)</w:t>
            </w:r>
          </w:p>
        </w:tc>
        <w:tc>
          <w:tcPr>
            <w:tcW w:w="740" w:type="dxa"/>
            <w:vAlign w:val="bottom"/>
            <w:vMerge w:val="restart"/>
          </w:tcPr>
          <w:p>
            <w:pPr>
              <w:ind w:left="380"/>
              <w:spacing w:after="0"/>
              <w:rPr>
                <w:sz w:val="20"/>
                <w:szCs w:val="20"/>
                <w:color w:val="auto"/>
              </w:rPr>
            </w:pPr>
            <w:r>
              <w:rPr>
                <w:rFonts w:ascii="Arial" w:cs="Arial" w:eastAsia="Arial" w:hAnsi="Arial"/>
                <w:sz w:val="14"/>
                <w:szCs w:val="14"/>
                <w:color w:val="0000FF"/>
              </w:rPr>
              <w:t>504</w:t>
            </w:r>
          </w:p>
        </w:tc>
        <w:tc>
          <w:tcPr>
            <w:tcW w:w="960" w:type="dxa"/>
            <w:vAlign w:val="bottom"/>
            <w:vMerge w:val="restart"/>
          </w:tcPr>
          <w:p>
            <w:pPr>
              <w:ind w:left="580"/>
              <w:spacing w:after="0"/>
              <w:rPr>
                <w:sz w:val="20"/>
                <w:szCs w:val="20"/>
                <w:color w:val="auto"/>
              </w:rPr>
            </w:pPr>
            <w:r>
              <w:rPr>
                <w:rFonts w:ascii="Arial" w:cs="Arial" w:eastAsia="Arial" w:hAnsi="Arial"/>
                <w:sz w:val="14"/>
                <w:szCs w:val="14"/>
                <w:color w:val="0000FF"/>
              </w:rPr>
              <w:t>D</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Shares</w:t>
            </w:r>
          </w:p>
        </w:tc>
        <w:tc>
          <w:tcPr>
            <w:tcW w:w="82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680" w:type="dxa"/>
            <w:vAlign w:val="bottom"/>
            <w:vMerge w:val="restart"/>
          </w:tcPr>
          <w:p>
            <w:pPr>
              <w:ind w:left="100"/>
              <w:spacing w:after="0"/>
              <w:rPr>
                <w:sz w:val="20"/>
                <w:szCs w:val="20"/>
                <w:color w:val="auto"/>
              </w:rPr>
            </w:pPr>
            <w:r>
              <w:rPr>
                <w:rFonts w:ascii="Arial" w:cs="Arial" w:eastAsia="Arial" w:hAnsi="Arial"/>
                <w:sz w:val="14"/>
                <w:szCs w:val="14"/>
                <w:color w:val="0000FF"/>
              </w:rPr>
              <w:t>Shares</w:t>
            </w:r>
          </w:p>
        </w:tc>
        <w:tc>
          <w:tcPr>
            <w:tcW w:w="5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740" w:type="dxa"/>
            <w:vAlign w:val="bottom"/>
          </w:tcPr>
          <w:p>
            <w:pPr>
              <w:spacing w:after="0"/>
              <w:rPr>
                <w:sz w:val="3"/>
                <w:szCs w:val="3"/>
                <w:color w:val="auto"/>
              </w:rPr>
            </w:pPr>
          </w:p>
        </w:tc>
        <w:tc>
          <w:tcPr>
            <w:tcW w:w="9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Phantom Shares are convertible into Common Shares on a 1 for 1 basis.</w:t>
      </w:r>
    </w:p>
    <w:p>
      <w:pPr>
        <w:spacing w:after="0" w:line="41" w:lineRule="exact"/>
        <w:rPr>
          <w:rFonts w:ascii="Arial" w:cs="Arial" w:eastAsia="Arial" w:hAnsi="Arial"/>
          <w:sz w:val="14"/>
          <w:szCs w:val="14"/>
          <w:color w:val="008000"/>
        </w:rPr>
      </w:pPr>
    </w:p>
    <w:p>
      <w:pPr>
        <w:ind w:left="40" w:right="4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On June 25, 2008, the Reporting Person's deferred compensation account was credited with Phantom Shares equal in value to the ordinary dividend paid on the underlying WTM Common Shares on the dividend date.</w:t>
      </w:r>
    </w:p>
    <w:p>
      <w:pPr>
        <w:spacing w:after="0" w:line="30" w:lineRule="exact"/>
        <w:rPr>
          <w:rFonts w:ascii="Arial" w:cs="Arial" w:eastAsia="Arial" w:hAnsi="Arial"/>
          <w:sz w:val="14"/>
          <w:szCs w:val="14"/>
          <w:color w:val="008000"/>
        </w:rPr>
      </w:pPr>
    </w:p>
    <w:p>
      <w:pPr>
        <w:ind w:left="40" w:right="6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Phantom Shares are held in the Reporting Person's WTM deferred compensation account and are payable in cash or shares upon the earlier of the date when the Reporting Person ceases to be an employee of the Company or a date certain selected by the Reporting Person.</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Dividends are automatically invested in Phantom Shares at the fair market price per share of the underlying WTM Common Shares on June 25, 2008, the date dividends were actually paid.</w:t>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Jason R. Lichtenstein, by</w:t>
            </w:r>
          </w:p>
        </w:tc>
        <w:tc>
          <w:tcPr>
            <w:tcW w:w="34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06/27/2008</w:t>
            </w:r>
          </w:p>
        </w:tc>
        <w:tc>
          <w:tcPr>
            <w:tcW w:w="0" w:type="dxa"/>
            <w:vAlign w:val="bottom"/>
          </w:tcPr>
          <w:p>
            <w:pPr>
              <w:spacing w:after="0"/>
              <w:rPr>
                <w:sz w:val="1"/>
                <w:szCs w:val="1"/>
                <w:color w:val="auto"/>
              </w:rPr>
            </w:pPr>
          </w:p>
        </w:tc>
      </w:tr>
      <w:tr>
        <w:trPr>
          <w:trHeight w:val="88"/>
        </w:trPr>
        <w:tc>
          <w:tcPr>
            <w:tcW w:w="1320" w:type="dxa"/>
            <w:vAlign w:val="bottom"/>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80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bottom w:val="single" w:sz="8" w:color="auto"/>
            </w:tcBorders>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4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80"/>
          </w:cols>
          <w:pgMar w:left="240" w:top="226" w:right="179" w:bottom="1440" w:gutter="0" w:footer="0" w:header="0"/>
          <w:type w:val="continuous"/>
        </w:sectPr>
      </w:pPr>
    </w:p>
    <w:bookmarkStart w:id="1" w:name="page2"/>
    <w:bookmarkEnd w:id="1"/>
    <w:p>
      <w:pPr>
        <w:ind w:right="3999"/>
        <w:spacing w:after="0" w:line="268"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Robert L. Seelig, General Counsel, and Dennis P. Beaulieu, Secretary, of White Mountains Insurance Group, Ltd., and Jason R. Lichtenstein, Vice President &amp; Assistant General Counsel, and</w:t>
      </w:r>
    </w:p>
    <w:p>
      <w:pPr>
        <w:spacing w:after="0" w:line="1" w:lineRule="exact"/>
        <w:rPr>
          <w:sz w:val="20"/>
          <w:szCs w:val="20"/>
          <w:color w:val="auto"/>
        </w:rPr>
      </w:pPr>
    </w:p>
    <w:p>
      <w:pPr>
        <w:ind w:right="4199"/>
        <w:spacing w:after="0" w:line="236" w:lineRule="auto"/>
        <w:rPr>
          <w:sz w:val="20"/>
          <w:szCs w:val="20"/>
          <w:color w:val="auto"/>
        </w:rPr>
      </w:pPr>
      <w:r>
        <w:rPr>
          <w:rFonts w:ascii="Courier New" w:cs="Courier New" w:eastAsia="Courier New" w:hAnsi="Courier New"/>
          <w:sz w:val="18"/>
          <w:szCs w:val="18"/>
          <w:color w:val="auto"/>
        </w:rPr>
        <w:t>Michael S. Paquette, Vice President, of White Mountains Capital, Inc., signing singly, the undersigned's true and lawful attorney-in-fact to:</w:t>
      </w:r>
    </w:p>
    <w:p>
      <w:pPr>
        <w:spacing w:after="0" w:line="6" w:lineRule="exact"/>
        <w:rPr>
          <w:sz w:val="20"/>
          <w:szCs w:val="20"/>
          <w:color w:val="auto"/>
        </w:rPr>
      </w:pPr>
    </w:p>
    <w:p>
      <w:pPr>
        <w:ind w:right="37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6" w:lineRule="exact"/>
        <w:rPr>
          <w:rFonts w:ascii="Courier New" w:cs="Courier New" w:eastAsia="Courier New" w:hAnsi="Courier New"/>
          <w:sz w:val="18"/>
          <w:szCs w:val="18"/>
          <w:color w:val="auto"/>
        </w:rPr>
      </w:pPr>
    </w:p>
    <w:p>
      <w:pPr>
        <w:ind w:right="36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(3)take any other action of any type whatsoever in connection</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6" w:lineRule="exact"/>
        <w:rPr>
          <w:rFonts w:ascii="Courier New" w:cs="Courier New" w:eastAsia="Courier New" w:hAnsi="Courier New"/>
          <w:sz w:val="18"/>
          <w:szCs w:val="18"/>
          <w:color w:val="auto"/>
        </w:rPr>
      </w:pPr>
    </w:p>
    <w:p>
      <w:pPr>
        <w:ind w:right="3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8"/>
          <w:szCs w:val="18"/>
          <w:color w:val="auto"/>
        </w:rPr>
      </w:pPr>
    </w:p>
    <w:p>
      <w:pPr>
        <w:ind w:right="32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86" w:lineRule="exact"/>
        <w:rPr>
          <w:rFonts w:ascii="Courier New" w:cs="Courier New" w:eastAsia="Courier New" w:hAnsi="Courier New"/>
          <w:sz w:val="18"/>
          <w:szCs w:val="18"/>
          <w:color w:val="auto"/>
        </w:rPr>
      </w:pP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8" w:lineRule="exact"/>
        <w:rPr>
          <w:rFonts w:ascii="Courier New" w:cs="Courier New" w:eastAsia="Courier New" w:hAnsi="Courier New"/>
          <w:sz w:val="18"/>
          <w:szCs w:val="18"/>
          <w:color w:val="auto"/>
        </w:rPr>
      </w:pPr>
    </w:p>
    <w:p>
      <w:pPr>
        <w:ind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5" w:lineRule="exact"/>
        <w:rPr>
          <w:rFonts w:ascii="Courier New" w:cs="Courier New" w:eastAsia="Courier New" w:hAnsi="Courier New"/>
          <w:sz w:val="18"/>
          <w:szCs w:val="18"/>
          <w:color w:val="auto"/>
        </w:rPr>
      </w:pPr>
    </w:p>
    <w:p>
      <w:pPr>
        <w:ind w:right="38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rFonts w:ascii="Courier New" w:cs="Courier New" w:eastAsia="Courier New" w:hAnsi="Courier New"/>
          <w:sz w:val="18"/>
          <w:szCs w:val="18"/>
          <w:color w:val="auto"/>
        </w:rPr>
      </w:pPr>
    </w:p>
    <w:p>
      <w:pPr>
        <w:ind w:right="4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this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22nd day of February 2007.</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Robert R. Lusardi</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2790"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2019-12-18T13:31:21Z</dcterms:created>
  <dcterms:modified xsi:type="dcterms:W3CDTF">2019-12-18T13:31:21Z</dcterms:modified>
</cp:coreProperties>
</file>