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8"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0"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jc w:val="center"/>
        <w:ind w:right="-27"/>
        <w:spacing w:after="0"/>
        <w:rPr>
          <w:sz w:val="20"/>
          <w:szCs w:val="20"/>
          <w:color w:val="auto"/>
        </w:rPr>
      </w:pPr>
      <w:r>
        <w:rPr>
          <w:rFonts w:ascii="Arial" w:cs="Arial" w:eastAsia="Arial" w:hAnsi="Arial"/>
          <w:sz w:val="14"/>
          <w:szCs w:val="14"/>
          <w:b w:val="1"/>
          <w:bCs w:val="1"/>
          <w:color w:val="auto"/>
        </w:rPr>
        <w:t>FORM 8-K</w:t>
      </w:r>
    </w:p>
    <w:p>
      <w:pPr>
        <w:spacing w:after="0" w:line="162"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41"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9"/>
          <w:szCs w:val="19"/>
          <w:b w:val="1"/>
          <w:bCs w:val="1"/>
          <w:color w:val="auto"/>
        </w:rPr>
        <w:t>June 5, 2026</w:t>
      </w:r>
    </w:p>
    <w:p>
      <w:pPr>
        <w:spacing w:after="0" w:line="97"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3"/>
          <w:szCs w:val="13"/>
          <w:color w:val="auto"/>
        </w:rPr>
        <w:t>Date of Report (Date of earliest event reported)</w:t>
      </w:r>
    </w:p>
    <w:p>
      <w:pPr>
        <w:spacing w:after="0" w:line="156"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9"/>
          <w:szCs w:val="19"/>
          <w:b w:val="1"/>
          <w:bCs w:val="1"/>
          <w:color w:val="auto"/>
        </w:rPr>
        <w:t>WHITE MOUNTAINS INSURANCE GROUP, LTD.</w:t>
      </w:r>
    </w:p>
    <w:p>
      <w:pPr>
        <w:spacing w:after="0" w:line="97"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ectPr>
          <w:pgSz w:w="11900" w:h="16838" w:orient="portrait"/>
          <w:cols w:equalWidth="0" w:num="1">
            <w:col w:w="11288"/>
          </w:cols>
          <w:pgMar w:left="292" w:top="713" w:right="319" w:bottom="1440" w:gutter="0" w:footer="0" w:header="0"/>
        </w:sectPr>
      </w:pPr>
    </w:p>
    <w:p>
      <w:pPr>
        <w:spacing w:after="0" w:line="34" w:lineRule="exact"/>
        <w:rPr>
          <w:sz w:val="24"/>
          <w:szCs w:val="24"/>
          <w:color w:val="auto"/>
        </w:rPr>
      </w:pPr>
    </w:p>
    <w:p>
      <w:pPr>
        <w:jc w:val="center"/>
        <w:ind w:right="352"/>
        <w:spacing w:after="0"/>
        <w:rPr>
          <w:sz w:val="20"/>
          <w:szCs w:val="20"/>
          <w:color w:val="auto"/>
        </w:rPr>
      </w:pPr>
      <w:r>
        <w:rPr>
          <w:rFonts w:ascii="Times New Roman" w:cs="Times New Roman" w:eastAsia="Times New Roman" w:hAnsi="Times New Roman"/>
          <w:sz w:val="14"/>
          <w:szCs w:val="14"/>
          <w:b w:val="1"/>
          <w:bCs w:val="1"/>
          <w:color w:val="auto"/>
        </w:rPr>
        <w:t>Bermuda</w:t>
      </w:r>
    </w:p>
    <w:p>
      <w:pPr>
        <w:spacing w:after="0" w:line="1" w:lineRule="exact"/>
        <w:rPr>
          <w:sz w:val="24"/>
          <w:szCs w:val="24"/>
          <w:color w:val="auto"/>
        </w:rPr>
      </w:pPr>
    </w:p>
    <w:p>
      <w:pPr>
        <w:jc w:val="center"/>
        <w:ind w:right="392"/>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1-8993</w:t>
      </w:r>
    </w:p>
    <w:p>
      <w:pPr>
        <w:spacing w:after="0" w:line="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94-2708455</w:t>
      </w:r>
    </w:p>
    <w:p>
      <w:pPr>
        <w:spacing w:after="0" w:line="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 w:lineRule="exact"/>
        <w:rPr>
          <w:sz w:val="24"/>
          <w:szCs w:val="24"/>
          <w:color w:val="auto"/>
        </w:rPr>
      </w:pPr>
    </w:p>
    <w:p>
      <w:pPr>
        <w:sectPr>
          <w:pgSz w:w="11900" w:h="16838" w:orient="portrait"/>
          <w:cols w:equalWidth="0" w:num="3">
            <w:col w:w="4168" w:space="720"/>
            <w:col w:w="2760" w:space="720"/>
            <w:col w:w="2920"/>
          </w:cols>
          <w:pgMar w:left="292" w:top="713" w:right="319" w:bottom="1440" w:gutter="0" w:footer="0" w:header="0"/>
          <w:type w:val="continuous"/>
        </w:sectPr>
      </w:pPr>
    </w:p>
    <w:p>
      <w:pPr>
        <w:ind w:left="1048"/>
        <w:spacing w:after="0" w:line="231" w:lineRule="auto"/>
        <w:rPr>
          <w:sz w:val="20"/>
          <w:szCs w:val="20"/>
          <w:color w:val="auto"/>
        </w:rPr>
      </w:pPr>
      <w:r>
        <w:rPr>
          <w:rFonts w:ascii="Times New Roman" w:cs="Times New Roman" w:eastAsia="Times New Roman" w:hAnsi="Times New Roman"/>
          <w:sz w:val="14"/>
          <w:szCs w:val="14"/>
          <w:color w:val="auto"/>
        </w:rPr>
        <w:t>incorporation or organization)</w:t>
      </w:r>
    </w:p>
    <w:p>
      <w:pPr>
        <w:spacing w:after="0" w:line="20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23 South Main Street, Suite 3B, Hanover, New Hampshire 03755</w:t>
      </w:r>
    </w:p>
    <w:p>
      <w:pPr>
        <w:spacing w:after="0" w:line="2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ectPr>
          <w:pgSz w:w="11900" w:h="16838" w:orient="portrait"/>
          <w:cols w:equalWidth="0" w:num="1">
            <w:col w:w="11288"/>
          </w:cols>
          <w:pgMar w:left="292" w:top="713" w:right="319" w:bottom="1440" w:gutter="0" w:footer="0" w:header="0"/>
          <w:type w:val="continuous"/>
        </w:sectPr>
      </w:pPr>
    </w:p>
    <w:p>
      <w:pPr>
        <w:spacing w:after="0" w:line="16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(603) 640-2200</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15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74" w:lineRule="exact"/>
        <w:rPr>
          <w:rFonts w:ascii="MS PGothic" w:cs="MS PGothic" w:eastAsia="MS PGothic" w:hAnsi="MS PGothic"/>
          <w:sz w:val="13"/>
          <w:szCs w:val="13"/>
          <w:color w:val="auto"/>
        </w:rPr>
      </w:pPr>
    </w:p>
    <w:p>
      <w:pPr>
        <w:ind w:left="148" w:hanging="148"/>
        <w:spacing w:after="0"/>
        <w:tabs>
          <w:tab w:leader="none" w:pos="14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65" w:lineRule="exact"/>
        <w:rPr>
          <w:rFonts w:ascii="MS PGothic" w:cs="MS PGothic" w:eastAsia="MS PGothic" w:hAnsi="MS PGothic"/>
          <w:sz w:val="13"/>
          <w:szCs w:val="13"/>
          <w:color w:val="auto"/>
        </w:rPr>
      </w:pPr>
    </w:p>
    <w:p>
      <w:pPr>
        <w:ind w:left="148" w:hanging="148"/>
        <w:spacing w:after="0"/>
        <w:tabs>
          <w:tab w:leader="none" w:pos="14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74" w:lineRule="exact"/>
        <w:rPr>
          <w:rFonts w:ascii="MS PGothic" w:cs="MS PGothic" w:eastAsia="MS PGothic" w:hAnsi="MS PGothic"/>
          <w:sz w:val="13"/>
          <w:szCs w:val="13"/>
          <w:color w:val="auto"/>
        </w:rPr>
      </w:pPr>
    </w:p>
    <w:p>
      <w:pPr>
        <w:ind w:left="148" w:hanging="148"/>
        <w:spacing w:after="0"/>
        <w:tabs>
          <w:tab w:leader="none" w:pos="14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6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75" w:lineRule="exact"/>
        <w:rPr>
          <w:sz w:val="24"/>
          <w:szCs w:val="24"/>
          <w:color w:val="auto"/>
        </w:rPr>
      </w:pPr>
    </w:p>
    <w:tbl>
      <w:tblPr>
        <w:tblLayout w:type="fixed"/>
        <w:tblInd w:w="228" w:type="dxa"/>
        <w:tblCellMar>
          <w:top w:w="0" w:type="dxa"/>
          <w:left w:w="0" w:type="dxa"/>
          <w:bottom w:w="0" w:type="dxa"/>
          <w:right w:w="0" w:type="dxa"/>
        </w:tblCellMar>
      </w:tblPr>
      <w:tr>
        <w:trPr>
          <w:trHeight w:val="159"/>
        </w:trPr>
        <w:tc>
          <w:tcPr>
            <w:tcW w:w="41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0"/>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Shares, par value $1.00 per share</w:t>
            </w:r>
          </w:p>
        </w:tc>
        <w:tc>
          <w:tcPr>
            <w:tcW w:w="200" w:type="dxa"/>
            <w:vAlign w:val="bottom"/>
          </w:tcPr>
          <w:p>
            <w:pPr>
              <w:spacing w:after="0"/>
              <w:rPr>
                <w:sz w:val="12"/>
                <w:szCs w:val="12"/>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WTM</w:t>
            </w:r>
          </w:p>
        </w:tc>
        <w:tc>
          <w:tcPr>
            <w:tcW w:w="200" w:type="dxa"/>
            <w:vAlign w:val="bottom"/>
          </w:tcPr>
          <w:p>
            <w:pPr>
              <w:spacing w:after="0"/>
              <w:rPr>
                <w:sz w:val="12"/>
                <w:szCs w:val="12"/>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r>
        <w:trPr>
          <w:trHeight w:val="155"/>
        </w:trPr>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7"/>
              </w:rPr>
              <w:t>WTM.BH</w:t>
            </w:r>
          </w:p>
        </w:tc>
        <w:tc>
          <w:tcPr>
            <w:tcW w:w="4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Bermuda Stock Exchange</w:t>
            </w:r>
          </w:p>
        </w:tc>
      </w:tr>
    </w:tbl>
    <w:p>
      <w:pPr>
        <w:spacing w:after="0" w:line="24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1933(§230.405 of this chapter) or Rule 12b-2 of the Securities Exchange Act of 1934</w:t>
      </w:r>
    </w:p>
    <w:p>
      <w:pPr>
        <w:spacing w:after="0" w:line="13" w:lineRule="exact"/>
        <w:rPr>
          <w:sz w:val="24"/>
          <w:szCs w:val="24"/>
          <w:color w:val="auto"/>
        </w:rPr>
      </w:pPr>
    </w:p>
    <w:p>
      <w:pPr>
        <w:ind w:left="8"/>
        <w:spacing w:after="0" w:line="150" w:lineRule="exact"/>
        <w:tabs>
          <w:tab w:leader="none" w:pos="2708" w:val="left"/>
        </w:tabs>
        <w:rPr>
          <w:sz w:val="20"/>
          <w:szCs w:val="20"/>
          <w:color w:val="auto"/>
        </w:rPr>
      </w:pPr>
      <w:r>
        <w:rPr>
          <w:rFonts w:ascii="Times New Roman" w:cs="Times New Roman" w:eastAsia="Times New Roman" w:hAnsi="Times New Roman"/>
          <w:sz w:val="13"/>
          <w:szCs w:val="13"/>
          <w:color w:val="auto"/>
        </w:rPr>
        <w:t>(§240.12b-2 of this chapter).</w:t>
      </w:r>
      <w:r>
        <w:rPr>
          <w:sz w:val="20"/>
          <w:szCs w:val="20"/>
          <w:color w:val="auto"/>
        </w:rPr>
        <w:tab/>
      </w: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highlight w:val="black"/>
        </w:rPr>
        <w:t>☐</w:t>
      </w:r>
    </w:p>
    <w:p>
      <w:pPr>
        <w:spacing w:after="0" w:line="111" w:lineRule="exact"/>
        <w:rPr>
          <w:sz w:val="24"/>
          <w:szCs w:val="24"/>
          <w:color w:val="auto"/>
        </w:rPr>
      </w:pPr>
    </w:p>
    <w:p>
      <w:pPr>
        <w:ind w:left="8"/>
        <w:spacing w:after="0" w:line="281"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346075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13" w:right="319"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Registrant’s executive officers will use the presentation furnished as Exhibit 99.1 to this Current Report on Form 8-K, in whole or in part, at the Registrant’s Annual Investor Information Meeting to be held on June 5, 2026.</w:t>
      </w:r>
    </w:p>
    <w:p>
      <w:pPr>
        <w:spacing w:after="0" w:line="16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information in this report (including Exhibit 99.1) is being furnished pursuant to Item 7.01 and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of 1933, as amended, or the Exchange Act.</w:t>
      </w:r>
    </w:p>
    <w:p>
      <w:pPr>
        <w:spacing w:after="0" w:line="28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 The following exhibit is furnished herewith:</w:t>
      </w: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EXHIBIT INDEX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99.1 Investor Presentation dated June 5, 2026.</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104 Cover Page Interactive Data File (the cover page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665" w:right="41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153"/>
        </w:trPr>
        <w:tc>
          <w:tcPr>
            <w:tcW w:w="1880" w:type="dxa"/>
            <w:vAlign w:val="bottom"/>
          </w:tcPr>
          <w:p>
            <w:pPr>
              <w:spacing w:after="0"/>
              <w:rPr>
                <w:sz w:val="13"/>
                <w:szCs w:val="13"/>
                <w:color w:val="auto"/>
              </w:rPr>
            </w:pPr>
          </w:p>
        </w:tc>
        <w:tc>
          <w:tcPr>
            <w:tcW w:w="396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WHITE MOUNTAINS INSURANCE GROUP, LTD.</w:t>
            </w:r>
          </w:p>
        </w:tc>
        <w:tc>
          <w:tcPr>
            <w:tcW w:w="1620" w:type="dxa"/>
            <w:vAlign w:val="bottom"/>
          </w:tcPr>
          <w:p>
            <w:pPr>
              <w:spacing w:after="0"/>
              <w:rPr>
                <w:sz w:val="13"/>
                <w:szCs w:val="13"/>
                <w:color w:val="auto"/>
              </w:rPr>
            </w:pPr>
          </w:p>
        </w:tc>
      </w:tr>
      <w:tr>
        <w:trPr>
          <w:trHeight w:val="128"/>
        </w:trPr>
        <w:tc>
          <w:tcPr>
            <w:tcW w:w="188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June 5, 2026</w:t>
            </w:r>
          </w:p>
        </w:tc>
        <w:tc>
          <w:tcPr>
            <w:tcW w:w="3960" w:type="dxa"/>
            <w:vAlign w:val="bottom"/>
          </w:tcPr>
          <w:p>
            <w:pPr>
              <w:ind w:left="1280"/>
              <w:spacing w:after="0" w:line="108" w:lineRule="exact"/>
              <w:rPr>
                <w:sz w:val="20"/>
                <w:szCs w:val="20"/>
                <w:color w:val="auto"/>
              </w:rPr>
            </w:pPr>
            <w:r>
              <w:rPr>
                <w:rFonts w:ascii="Times New Roman" w:cs="Times New Roman" w:eastAsia="Times New Roman" w:hAnsi="Times New Roman"/>
                <w:sz w:val="12"/>
                <w:szCs w:val="12"/>
                <w:color w:val="auto"/>
              </w:rPr>
              <w:t>By:</w:t>
            </w:r>
          </w:p>
        </w:tc>
        <w:tc>
          <w:tcPr>
            <w:tcW w:w="1620" w:type="dxa"/>
            <w:vAlign w:val="bottom"/>
            <w:tcBorders>
              <w:bottom w:val="single" w:sz="8" w:color="auto"/>
            </w:tcBorders>
          </w:tcPr>
          <w:p>
            <w:pPr>
              <w:ind w:left="20"/>
              <w:spacing w:after="0" w:line="108" w:lineRule="exact"/>
              <w:rPr>
                <w:sz w:val="20"/>
                <w:szCs w:val="20"/>
                <w:color w:val="auto"/>
              </w:rPr>
            </w:pPr>
            <w:r>
              <w:rPr>
                <w:rFonts w:ascii="Times New Roman" w:cs="Times New Roman" w:eastAsia="Times New Roman" w:hAnsi="Times New Roman"/>
                <w:sz w:val="12"/>
                <w:szCs w:val="12"/>
                <w:color w:val="auto"/>
              </w:rPr>
              <w:t>/s/  MICHAELA J. HILDRETH</w:t>
            </w:r>
          </w:p>
        </w:tc>
      </w:tr>
      <w:tr>
        <w:trPr>
          <w:trHeight w:val="93"/>
        </w:trPr>
        <w:tc>
          <w:tcPr>
            <w:tcW w:w="188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620" w:type="dxa"/>
            <w:vAlign w:val="bottom"/>
          </w:tcPr>
          <w:p>
            <w:pPr>
              <w:ind w:left="220"/>
              <w:spacing w:after="0" w:line="93" w:lineRule="exact"/>
              <w:rPr>
                <w:sz w:val="20"/>
                <w:szCs w:val="20"/>
                <w:color w:val="auto"/>
              </w:rPr>
            </w:pPr>
            <w:r>
              <w:rPr>
                <w:rFonts w:ascii="Times New Roman" w:cs="Times New Roman" w:eastAsia="Times New Roman" w:hAnsi="Times New Roman"/>
                <w:sz w:val="10"/>
                <w:szCs w:val="10"/>
                <w:color w:val="auto"/>
              </w:rPr>
              <w:t>Michaela J. Hildreth</w:t>
            </w:r>
          </w:p>
        </w:tc>
      </w:tr>
      <w:tr>
        <w:trPr>
          <w:trHeight w:val="121"/>
        </w:trPr>
        <w:tc>
          <w:tcPr>
            <w:tcW w:w="18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620" w:type="dxa"/>
            <w:vAlign w:val="bottom"/>
          </w:tcPr>
          <w:p>
            <w:pPr>
              <w:ind w:left="180"/>
              <w:spacing w:after="0" w:line="121" w:lineRule="exact"/>
              <w:rPr>
                <w:sz w:val="20"/>
                <w:szCs w:val="20"/>
                <w:color w:val="auto"/>
              </w:rPr>
            </w:pPr>
            <w:r>
              <w:rPr>
                <w:rFonts w:ascii="Times New Roman" w:cs="Times New Roman" w:eastAsia="Times New Roman" w:hAnsi="Times New Roman"/>
                <w:sz w:val="12"/>
                <w:szCs w:val="12"/>
                <w:i w:val="1"/>
                <w:iCs w:val="1"/>
                <w:color w:val="auto"/>
              </w:rPr>
              <w:t>Managing Director and</w:t>
            </w:r>
          </w:p>
        </w:tc>
      </w:tr>
      <w:tr>
        <w:trPr>
          <w:trHeight w:val="157"/>
        </w:trPr>
        <w:tc>
          <w:tcPr>
            <w:tcW w:w="18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620" w:type="dxa"/>
            <w:vAlign w:val="bottom"/>
          </w:tcPr>
          <w:p>
            <w:pPr>
              <w:ind w:left="180"/>
              <w:spacing w:after="0"/>
              <w:rPr>
                <w:sz w:val="20"/>
                <w:szCs w:val="20"/>
                <w:color w:val="auto"/>
              </w:rPr>
            </w:pPr>
            <w:r>
              <w:rPr>
                <w:rFonts w:ascii="Times New Roman" w:cs="Times New Roman" w:eastAsia="Times New Roman" w:hAnsi="Times New Roman"/>
                <w:sz w:val="12"/>
                <w:szCs w:val="12"/>
                <w:i w:val="1"/>
                <w:iCs w:val="1"/>
                <w:color w:val="auto"/>
              </w:rPr>
              <w:t>Chief Accounting Officer</w:t>
            </w:r>
          </w:p>
        </w:tc>
      </w:tr>
      <w:tr>
        <w:trPr>
          <w:trHeight w:val="761"/>
        </w:trPr>
        <w:tc>
          <w:tcPr>
            <w:tcW w:w="1880" w:type="dxa"/>
            <w:vAlign w:val="bottom"/>
          </w:tcPr>
          <w:p>
            <w:pPr>
              <w:spacing w:after="0"/>
              <w:rPr>
                <w:sz w:val="24"/>
                <w:szCs w:val="24"/>
                <w:color w:val="auto"/>
              </w:rPr>
            </w:pPr>
          </w:p>
        </w:tc>
        <w:tc>
          <w:tcPr>
            <w:tcW w:w="3960" w:type="dxa"/>
            <w:vAlign w:val="bottom"/>
          </w:tcPr>
          <w:p>
            <w:pPr>
              <w:jc w:val="right"/>
              <w:ind w:right="1040"/>
              <w:spacing w:after="0"/>
              <w:rPr>
                <w:sz w:val="20"/>
                <w:szCs w:val="20"/>
                <w:color w:val="auto"/>
              </w:rPr>
            </w:pPr>
            <w:r>
              <w:rPr>
                <w:rFonts w:ascii="Times New Roman" w:cs="Times New Roman" w:eastAsia="Times New Roman" w:hAnsi="Times New Roman"/>
                <w:sz w:val="12"/>
                <w:szCs w:val="12"/>
                <w:color w:val="auto"/>
              </w:rPr>
              <w:t>3</w:t>
            </w:r>
          </w:p>
        </w:tc>
        <w:tc>
          <w:tcPr>
            <w:tcW w:w="1620" w:type="dxa"/>
            <w:vAlign w:val="bottom"/>
          </w:tcPr>
          <w:p>
            <w:pPr>
              <w:spacing w:after="0"/>
              <w:rPr>
                <w:sz w:val="24"/>
                <w:szCs w:val="24"/>
                <w:color w:val="auto"/>
              </w:rPr>
            </w:pPr>
          </w:p>
        </w:tc>
      </w:tr>
    </w:tbl>
    <w:p>
      <w:pPr>
        <w:sectPr>
          <w:pgSz w:w="11900" w:h="16838" w:orient="portrait"/>
          <w:cols w:equalWidth="0" w:num="1">
            <w:col w:w="10159"/>
          </w:cols>
          <w:pgMar w:left="300" w:top="665"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7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2026-06-05T07:19:38Z</dcterms:created>
  <dcterms:modified xsi:type="dcterms:W3CDTF">2026-06-05T07:19:38Z</dcterms:modified>
</cp:coreProperties>
</file>