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-10795</wp:posOffset>
            </wp:positionV>
            <wp:extent cx="142875" cy="193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193040"/>
                    </a:xfrm>
                    <a:prstGeom prst="rect">
                      <a:avLst/>
                    </a:prstGeom>
                    <a:noFill/>
                  </pic:spPr>
                </pic:pic>
              </a:graphicData>
            </a:graphic>
          </wp:anchor>
        </w:drawing>
      </w:r>
    </w:p>
    <w:p>
      <w:pPr>
        <w:jc w:val="both"/>
        <w:ind w:left="340" w:right="360" w:hanging="255"/>
        <w:spacing w:after="0" w:line="184"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5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999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9948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00" w:space="40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CAVOORES JOHN PAUL</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80" w:type="dxa"/>
            <w:vAlign w:val="bottom"/>
            <w:gridSpan w:val="4"/>
            <w:vMerge w:val="continue"/>
          </w:tcPr>
          <w:p>
            <w:pPr>
              <w:spacing w:after="0"/>
              <w:rPr>
                <w:sz w:val="8"/>
                <w:szCs w:val="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40"/>
              <w:spacing w:after="0"/>
              <w:rPr>
                <w:sz w:val="20"/>
                <w:szCs w:val="20"/>
                <w:color w:val="auto"/>
              </w:rPr>
            </w:pPr>
            <w:r>
              <w:rPr>
                <w:rFonts w:ascii="Arial" w:cs="Arial" w:eastAsia="Arial" w:hAnsi="Arial"/>
                <w:sz w:val="17"/>
                <w:szCs w:val="17"/>
                <w:color w:val="0000FF"/>
              </w:rPr>
              <w:t>Pres &amp; CEO, OneBeacon</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04/29/2004</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21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5"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7"/>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1,450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gridSpan w:val="2"/>
            <w:vMerge w:val="restart"/>
          </w:tcPr>
          <w:p>
            <w:pPr>
              <w:jc w:val="center"/>
              <w:ind w:left="571"/>
              <w:spacing w:after="0"/>
              <w:rPr>
                <w:sz w:val="20"/>
                <w:szCs w:val="20"/>
                <w:color w:val="auto"/>
              </w:rPr>
            </w:pPr>
            <w:r>
              <w:rPr>
                <w:rFonts w:ascii="Arial" w:cs="Arial" w:eastAsia="Arial" w:hAnsi="Arial"/>
                <w:sz w:val="17"/>
                <w:szCs w:val="17"/>
                <w:color w:val="0000FF"/>
                <w:w w:val="84"/>
              </w:rPr>
              <w:t>5</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(1)</w:t>
            </w:r>
          </w:p>
        </w:tc>
        <w:tc>
          <w:tcPr>
            <w:tcW w:w="1060" w:type="dxa"/>
            <w:vAlign w:val="bottom"/>
            <w:vMerge w:val="restart"/>
          </w:tcPr>
          <w:p>
            <w:pPr>
              <w:ind w:left="220"/>
              <w:spacing w:after="0"/>
              <w:rPr>
                <w:sz w:val="20"/>
                <w:szCs w:val="20"/>
                <w:color w:val="auto"/>
              </w:rPr>
            </w:pPr>
            <w:r>
              <w:rPr>
                <w:rFonts w:ascii="Arial" w:cs="Arial" w:eastAsia="Arial" w:hAnsi="Arial"/>
                <w:sz w:val="13"/>
                <w:szCs w:val="13"/>
                <w:color w:val="0000FF"/>
              </w:rPr>
              <w:t>04/29/2004</w:t>
            </w:r>
          </w:p>
        </w:tc>
        <w:tc>
          <w:tcPr>
            <w:tcW w:w="1120" w:type="dxa"/>
            <w:vAlign w:val="bottom"/>
          </w:tcPr>
          <w:p>
            <w:pPr>
              <w:spacing w:after="0"/>
              <w:rPr>
                <w:sz w:val="12"/>
                <w:szCs w:val="12"/>
                <w:color w:val="auto"/>
              </w:rPr>
            </w:pPr>
          </w:p>
        </w:tc>
        <w:tc>
          <w:tcPr>
            <w:tcW w:w="620" w:type="dxa"/>
            <w:vAlign w:val="bottom"/>
            <w:vMerge w:val="restart"/>
          </w:tcPr>
          <w:p>
            <w:pPr>
              <w:ind w:left="200"/>
              <w:spacing w:after="0"/>
              <w:rPr>
                <w:sz w:val="20"/>
                <w:szCs w:val="20"/>
                <w:color w:val="auto"/>
              </w:rPr>
            </w:pPr>
            <w:r>
              <w:rPr>
                <w:rFonts w:ascii="Arial" w:cs="Arial" w:eastAsia="Arial" w:hAnsi="Arial"/>
                <w:sz w:val="13"/>
                <w:szCs w:val="13"/>
                <w:color w:val="0000FF"/>
              </w:rPr>
              <w:t>I</w:t>
            </w:r>
          </w:p>
        </w:tc>
        <w:tc>
          <w:tcPr>
            <w:tcW w:w="200" w:type="dxa"/>
            <w:vAlign w:val="bottom"/>
          </w:tcPr>
          <w:p>
            <w:pPr>
              <w:spacing w:after="0"/>
              <w:rPr>
                <w:sz w:val="12"/>
                <w:szCs w:val="12"/>
                <w:color w:val="auto"/>
              </w:rPr>
            </w:pPr>
          </w:p>
        </w:tc>
        <w:tc>
          <w:tcPr>
            <w:tcW w:w="820" w:type="dxa"/>
            <w:vAlign w:val="bottom"/>
            <w:vMerge w:val="restart"/>
          </w:tcPr>
          <w:p>
            <w:pPr>
              <w:ind w:left="380"/>
              <w:spacing w:after="0" w:line="273" w:lineRule="exact"/>
              <w:rPr>
                <w:sz w:val="20"/>
                <w:szCs w:val="20"/>
                <w:color w:val="auto"/>
              </w:rPr>
            </w:pPr>
            <w:r>
              <w:rPr>
                <w:rFonts w:ascii="Arial" w:cs="Arial" w:eastAsia="Arial" w:hAnsi="Arial"/>
                <w:sz w:val="26"/>
                <w:szCs w:val="26"/>
                <w:color w:val="0000FF"/>
                <w:w w:val="99"/>
                <w:vertAlign w:val="subscript"/>
              </w:rPr>
              <w:t>141</w:t>
            </w:r>
            <w:r>
              <w:rPr>
                <w:rFonts w:ascii="Arial" w:cs="Arial" w:eastAsia="Arial" w:hAnsi="Arial"/>
                <w:sz w:val="11"/>
                <w:szCs w:val="11"/>
                <w:color w:val="008000"/>
                <w:w w:val="99"/>
              </w:rPr>
              <w:t>(2)</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97"/>
              <w:spacing w:after="0"/>
              <w:rPr>
                <w:sz w:val="20"/>
                <w:szCs w:val="20"/>
                <w:color w:val="auto"/>
              </w:rPr>
            </w:pPr>
            <w:r>
              <w:rPr>
                <w:rFonts w:ascii="Arial" w:cs="Arial" w:eastAsia="Arial" w:hAnsi="Arial"/>
                <w:sz w:val="17"/>
                <w:szCs w:val="17"/>
                <w:color w:val="0000FF"/>
              </w:rPr>
              <w:t>141</w:t>
            </w: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524.5</w:t>
            </w:r>
          </w:p>
        </w:tc>
        <w:tc>
          <w:tcPr>
            <w:tcW w:w="6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payment of deferred compensation in cash based on a predetermined Payment Schedule entered into in April 16, 2003 by the Reporting Person.</w:t>
      </w:r>
    </w:p>
    <w:p>
      <w:pPr>
        <w:spacing w:after="0" w:line="48" w:lineRule="exact"/>
        <w:rPr>
          <w:rFonts w:ascii="Arial" w:cs="Arial" w:eastAsia="Arial" w:hAnsi="Arial"/>
          <w:sz w:val="13"/>
          <w:szCs w:val="13"/>
          <w:color w:val="008000"/>
        </w:rPr>
      </w:pPr>
    </w:p>
    <w:p>
      <w:pPr>
        <w:ind w:left="40" w:right="420" w:firstLine="5"/>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Dennis Beaulieu</w:t>
            </w:r>
          </w:p>
        </w:tc>
        <w:tc>
          <w:tcPr>
            <w:tcW w:w="800" w:type="dxa"/>
            <w:vAlign w:val="bottom"/>
          </w:tcPr>
          <w:p>
            <w:pPr>
              <w:spacing w:after="0"/>
              <w:rPr>
                <w:sz w:val="20"/>
                <w:szCs w:val="20"/>
                <w:color w:val="auto"/>
              </w:rPr>
            </w:pPr>
            <w:r>
              <w:rPr>
                <w:rFonts w:ascii="Arial" w:cs="Arial" w:eastAsia="Arial" w:hAnsi="Arial"/>
                <w:sz w:val="17"/>
                <w:szCs w:val="17"/>
                <w:color w:val="0000FF"/>
                <w:w w:val="91"/>
              </w:rPr>
              <w:t>04/29/2004</w:t>
            </w:r>
          </w:p>
        </w:tc>
      </w:tr>
      <w:tr>
        <w:trPr>
          <w:trHeight w:val="20"/>
        </w:trPr>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29"/>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1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and Dennis P. Beaulieu, Secretary,</w:t>
      </w:r>
    </w:p>
    <w:p>
      <w:pPr>
        <w:ind w:right="3719"/>
        <w:spacing w:after="0" w:line="247" w:lineRule="auto"/>
        <w:rPr>
          <w:sz w:val="20"/>
          <w:szCs w:val="20"/>
          <w:color w:val="auto"/>
        </w:rPr>
      </w:pPr>
      <w:r>
        <w:rPr>
          <w:rFonts w:ascii="Courier New" w:cs="Courier New" w:eastAsia="Courier New" w:hAnsi="Courier New"/>
          <w:sz w:val="17"/>
          <w:szCs w:val="17"/>
          <w:color w:val="auto"/>
        </w:rPr>
        <w:t>of White Mountains Insurance Group, Ltd., and Robert L. Seelig, General Counsel of OneBeacon Asset Management, Inc., signing singly, the undersigned's true and lawful attorney-in-fact to:</w:t>
      </w:r>
    </w:p>
    <w:p>
      <w:pPr>
        <w:ind w:right="3919" w:firstLine="6"/>
        <w:spacing w:after="0" w:line="247" w:lineRule="auto"/>
        <w:tabs>
          <w:tab w:leader="none" w:pos="4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30th day of September, 2002.</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C. Cavoores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2019-12-17T11:11:15Z</dcterms:created>
  <dcterms:modified xsi:type="dcterms:W3CDTF">2019-12-17T11:11:15Z</dcterms:modified>
</cp:coreProperties>
</file>