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6445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445250"/>
                    </a:xfrm>
                    <a:prstGeom prst="rect">
                      <a:avLst/>
                    </a:prstGeom>
                    <a:noFill/>
                  </pic:spPr>
                </pic:pic>
              </a:graphicData>
            </a:graphic>
          </wp:anchor>
        </w:drawing>
      </w:r>
    </w:p>
    <w:p>
      <w:pPr>
        <w:spacing w:after="0" w:line="103" w:lineRule="exact"/>
        <w:rPr>
          <w:sz w:val="24"/>
          <w:szCs w:val="24"/>
          <w:color w:val="auto"/>
        </w:rPr>
      </w:pPr>
    </w:p>
    <w:p>
      <w:pPr>
        <w:sectPr>
          <w:pgSz w:w="11900" w:h="16905" w:orient="portrait"/>
          <w:cols w:equalWidth="0" w:num="2">
            <w:col w:w="2320" w:space="400"/>
            <w:col w:w="8800"/>
          </w:cols>
          <w:pgMar w:left="240" w:top="224"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00"/>
        <w:spacing w:after="0" w:line="350"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700" w:type="dxa"/>
            <w:vAlign w:val="bottom"/>
          </w:tcPr>
          <w:p>
            <w:pPr>
              <w:ind w:left="46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92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3920" w:type="dxa"/>
            <w:vAlign w:val="bottom"/>
            <w:gridSpan w:val="3"/>
            <w:vMerge w:val="restart"/>
          </w:tcPr>
          <w:p>
            <w:pPr>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2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tcPr>
          <w:p>
            <w:pPr>
              <w:ind w:left="100"/>
              <w:spacing w:after="0" w:line="100"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900" w:type="dxa"/>
            <w:vAlign w:val="bottom"/>
            <w:gridSpan w:val="2"/>
          </w:tcPr>
          <w:p>
            <w:pPr>
              <w:ind w:left="60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7"/>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03/23/2005</w:t>
            </w: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0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4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361" w:lineRule="exact"/>
        <w:rPr>
          <w:sz w:val="20"/>
          <w:szCs w:val="20"/>
          <w:color w:val="auto"/>
        </w:rPr>
      </w:pPr>
    </w:p>
    <w:p>
      <w:pPr>
        <w:sectPr>
          <w:pgSz w:w="11900" w:h="16905" w:orient="portrait"/>
          <w:cols w:equalWidth="0" w:num="2">
            <w:col w:w="3920" w:space="8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8"/>
              </w:rPr>
              <w:t>17,719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3,700</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34"/>
                <w:szCs w:val="34"/>
                <w:color w:val="0000FF"/>
                <w:w w:val="74"/>
                <w:vertAlign w:val="subscript"/>
              </w:rPr>
              <w:t>570</w:t>
            </w:r>
            <w:r>
              <w:rPr>
                <w:rFonts w:ascii="Arial" w:cs="Arial" w:eastAsia="Arial" w:hAnsi="Arial"/>
                <w:sz w:val="11"/>
                <w:szCs w:val="11"/>
                <w:color w:val="008000"/>
                <w:w w:val="74"/>
              </w:rPr>
              <w:t>(1)</w:t>
            </w:r>
          </w:p>
        </w:tc>
        <w:tc>
          <w:tcPr>
            <w:tcW w:w="300" w:type="dxa"/>
            <w:vAlign w:val="bottom"/>
          </w:tcPr>
          <w:p>
            <w:pPr>
              <w:spacing w:after="0"/>
              <w:rPr>
                <w:sz w:val="22"/>
                <w:szCs w:val="22"/>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03/23/2005</w:t>
            </w:r>
          </w:p>
        </w:tc>
        <w:tc>
          <w:tcPr>
            <w:tcW w:w="112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20" w:type="dxa"/>
            <w:vAlign w:val="bottom"/>
            <w:vMerge w:val="restart"/>
          </w:tcPr>
          <w:p>
            <w:pPr>
              <w:jc w:val="center"/>
              <w:ind w:right="60"/>
              <w:spacing w:after="0" w:line="272" w:lineRule="exact"/>
              <w:rPr>
                <w:sz w:val="20"/>
                <w:szCs w:val="20"/>
                <w:color w:val="auto"/>
              </w:rPr>
            </w:pPr>
            <w:r>
              <w:rPr>
                <w:rFonts w:ascii="Arial" w:cs="Arial" w:eastAsia="Arial" w:hAnsi="Arial"/>
                <w:sz w:val="26"/>
                <w:szCs w:val="26"/>
                <w:color w:val="0000FF"/>
                <w:vertAlign w:val="subscript"/>
              </w:rPr>
              <w:t>24</w:t>
            </w:r>
            <w:r>
              <w:rPr>
                <w:rFonts w:ascii="Arial" w:cs="Arial" w:eastAsia="Arial" w:hAnsi="Arial"/>
                <w:sz w:val="11"/>
                <w:szCs w:val="11"/>
                <w:color w:val="008000"/>
              </w:rPr>
              <w:t>(3)</w:t>
            </w:r>
          </w:p>
        </w:tc>
        <w:tc>
          <w:tcPr>
            <w:tcW w:w="3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4"/>
              </w:rPr>
              <w:t>24</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630.75</w:t>
            </w:r>
            <w:r>
              <w:rPr>
                <w:rFonts w:ascii="Arial" w:cs="Arial" w:eastAsia="Arial" w:hAnsi="Arial"/>
                <w:sz w:val="21"/>
                <w:szCs w:val="21"/>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7,692</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03/23/2005</w:t>
            </w:r>
          </w:p>
        </w:tc>
        <w:tc>
          <w:tcPr>
            <w:tcW w:w="112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520" w:type="dxa"/>
            <w:vAlign w:val="bottom"/>
            <w:vMerge w:val="restart"/>
          </w:tcPr>
          <w:p>
            <w:pPr>
              <w:jc w:val="center"/>
              <w:ind w:right="40"/>
              <w:spacing w:after="0"/>
              <w:rPr>
                <w:sz w:val="20"/>
                <w:szCs w:val="20"/>
                <w:color w:val="auto"/>
              </w:rPr>
            </w:pPr>
            <w:r>
              <w:rPr>
                <w:rFonts w:ascii="Arial" w:cs="Arial" w:eastAsia="Arial" w:hAnsi="Arial"/>
                <w:sz w:val="13"/>
                <w:szCs w:val="13"/>
                <w:color w:val="0000FF"/>
                <w:w w:val="97"/>
              </w:rPr>
              <w:t>129</w:t>
            </w:r>
            <w:r>
              <w:rPr>
                <w:rFonts w:ascii="Arial" w:cs="Arial" w:eastAsia="Arial" w:hAnsi="Arial"/>
                <w:sz w:val="21"/>
                <w:szCs w:val="21"/>
                <w:color w:val="008000"/>
                <w:w w:val="97"/>
                <w:vertAlign w:val="superscript"/>
              </w:rPr>
              <w:t>(3)</w:t>
            </w:r>
          </w:p>
        </w:tc>
        <w:tc>
          <w:tcPr>
            <w:tcW w:w="3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129</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630.75</w:t>
            </w:r>
            <w:r>
              <w:rPr>
                <w:rFonts w:ascii="Arial" w:cs="Arial" w:eastAsia="Arial" w:hAnsi="Arial"/>
                <w:sz w:val="21"/>
                <w:szCs w:val="21"/>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41,032</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95"/>
              </w:rPr>
              <w:t>02/28/2010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jc w:val="center"/>
              <w:spacing w:after="0"/>
              <w:rPr>
                <w:sz w:val="20"/>
                <w:szCs w:val="20"/>
                <w:color w:val="auto"/>
              </w:rPr>
            </w:pPr>
            <w:r>
              <w:rPr>
                <w:rFonts w:ascii="Arial" w:cs="Arial" w:eastAsia="Arial" w:hAnsi="Arial"/>
                <w:sz w:val="17"/>
                <w:szCs w:val="17"/>
                <w:color w:val="0000FF"/>
                <w:w w:val="89"/>
              </w:rPr>
              <w:t>7,230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7,230</w:t>
            </w:r>
          </w:p>
        </w:tc>
        <w:tc>
          <w:tcPr>
            <w:tcW w:w="300" w:type="dxa"/>
            <w:vAlign w:val="bottom"/>
          </w:tcPr>
          <w:p>
            <w:pPr>
              <w:spacing w:after="0"/>
              <w:rPr>
                <w:sz w:val="20"/>
                <w:szCs w:val="20"/>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8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February 4, 2005, the date of Reporting Person's last filing, Reporting Person acquired 6 shares of WTM's Common Shares under the Folksamerica 401(k) Plan. WTM Common Shares are purchased at fair market value on the date of purchase. The information in this report is based on a plan statement dated as of February 28, 2005.</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60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23, 2005,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March 23, 2005, the date the dividends are deemed to be paid.</w:t>
      </w:r>
    </w:p>
    <w:p>
      <w:pPr>
        <w:spacing w:after="0" w:line="48" w:lineRule="exact"/>
        <w:rPr>
          <w:rFonts w:ascii="Arial" w:cs="Arial" w:eastAsia="Arial" w:hAnsi="Arial"/>
          <w:sz w:val="13"/>
          <w:szCs w:val="13"/>
          <w:color w:val="008000"/>
        </w:rPr>
      </w:pPr>
    </w:p>
    <w:p>
      <w:pPr>
        <w:ind w:left="40" w:right="44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1" w:lineRule="exact"/>
        <w:rPr>
          <w:rFonts w:ascii="Arial" w:cs="Arial" w:eastAsia="Arial" w:hAnsi="Arial"/>
          <w:sz w:val="13"/>
          <w:szCs w:val="13"/>
          <w:color w:val="008000"/>
        </w:rPr>
      </w:pPr>
    </w:p>
    <w:p>
      <w:pPr>
        <w:ind w:left="40" w:right="40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1" w:lineRule="exact"/>
        <w:rPr>
          <w:rFonts w:ascii="Arial" w:cs="Arial" w:eastAsia="Arial" w:hAnsi="Arial"/>
          <w:sz w:val="13"/>
          <w:szCs w:val="13"/>
          <w:color w:val="008000"/>
        </w:rPr>
      </w:pPr>
    </w:p>
    <w:p>
      <w:pPr>
        <w:ind w:left="40" w:right="140" w:firstLine="5"/>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 335 options were exercised on December 27, 2001 at an exercise price of $118.15, 1,000 options were exercised on December 30, 2002 at an exercise price of $125.30, and 435 options were exercised on December 20, 2004 at an exercise price of $140.75.</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Dennis Beaulieu, by Power of</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03/24/2005</w:t>
            </w:r>
          </w:p>
        </w:tc>
        <w:tc>
          <w:tcPr>
            <w:tcW w:w="0" w:type="dxa"/>
            <w:vAlign w:val="bottom"/>
          </w:tcPr>
          <w:p>
            <w:pPr>
              <w:spacing w:after="0"/>
              <w:rPr>
                <w:sz w:val="1"/>
                <w:szCs w:val="1"/>
                <w:color w:val="auto"/>
              </w:rPr>
            </w:pPr>
          </w:p>
        </w:tc>
      </w:tr>
      <w:tr>
        <w:trPr>
          <w:trHeight w:val="86"/>
        </w:trPr>
        <w:tc>
          <w:tcPr>
            <w:tcW w:w="6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05"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right="371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w:t>
      </w:r>
    </w:p>
    <w:p>
      <w:pPr>
        <w:spacing w:after="0" w:line="2" w:lineRule="exact"/>
        <w:rPr>
          <w:sz w:val="20"/>
          <w:szCs w:val="20"/>
          <w:color w:val="auto"/>
        </w:rPr>
      </w:pPr>
    </w:p>
    <w:p>
      <w:pPr>
        <w:ind w:right="4139"/>
        <w:spacing w:after="0" w:line="246" w:lineRule="auto"/>
        <w:rPr>
          <w:sz w:val="20"/>
          <w:szCs w:val="20"/>
          <w:color w:val="auto"/>
        </w:rPr>
      </w:pPr>
      <w:r>
        <w:rPr>
          <w:rFonts w:ascii="Courier New" w:cs="Courier New" w:eastAsia="Courier New" w:hAnsi="Courier New"/>
          <w:sz w:val="17"/>
          <w:szCs w:val="17"/>
          <w:color w:val="auto"/>
        </w:rPr>
        <w:t>Dennis P. Beaulieu, Secretary, of White Mountains Insurance Group, Ltd., signing singly, the undersigned's true and lawful attorney-in-fact to:</w:t>
      </w:r>
    </w:p>
    <w:p>
      <w:pPr>
        <w:spacing w:after="0" w:line="2" w:lineRule="exact"/>
        <w:rPr>
          <w:sz w:val="20"/>
          <w:szCs w:val="20"/>
          <w:color w:val="auto"/>
        </w:rPr>
      </w:pPr>
    </w:p>
    <w:p>
      <w:pPr>
        <w:ind w:right="3939" w:firstLine="6"/>
        <w:spacing w:after="0" w:line="246"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839" w:firstLine="6"/>
        <w:spacing w:after="0" w:line="246"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4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7" w:lineRule="exact"/>
        <w:rPr>
          <w:rFonts w:ascii="Courier New" w:cs="Courier New" w:eastAsia="Courier New" w:hAnsi="Courier New"/>
          <w:sz w:val="17"/>
          <w:szCs w:val="17"/>
          <w:color w:val="auto"/>
        </w:rPr>
      </w:pPr>
    </w:p>
    <w:p>
      <w:pPr>
        <w:ind w:right="36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rFonts w:ascii="Courier New" w:cs="Courier New" w:eastAsia="Courier New" w:hAnsi="Courier New"/>
          <w:sz w:val="17"/>
          <w:szCs w:val="17"/>
          <w:color w:val="auto"/>
        </w:rPr>
      </w:pPr>
    </w:p>
    <w:p>
      <w:pPr>
        <w:ind w:right="33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40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January, 2004.</w:t>
      </w: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2019-12-17T11:13:41Z</dcterms:created>
  <dcterms:modified xsi:type="dcterms:W3CDTF">2019-12-17T11:13:41Z</dcterms:modified>
</cp:coreProperties>
</file>