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278765</wp:posOffset>
            </wp:positionV>
            <wp:extent cx="7143115"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309880</wp:posOffset>
            </wp:positionV>
            <wp:extent cx="71431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115" cy="7620"/>
                    </a:xfrm>
                    <a:prstGeom prst="rect">
                      <a:avLst/>
                    </a:prstGeom>
                    <a:noFill/>
                  </pic:spPr>
                </pic:pic>
              </a:graphicData>
            </a:graphic>
          </wp:anchor>
        </w:drawing>
        <w:t>UNITED STATES</w:t>
      </w:r>
    </w:p>
    <w:p>
      <w:pPr>
        <w:spacing w:after="0" w:line="2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5"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8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SCHEDULE 14A</w:t>
      </w:r>
    </w:p>
    <w:p>
      <w:pPr>
        <w:sectPr>
          <w:pgSz w:w="11900" w:h="16838" w:orient="portrait"/>
          <w:cols w:equalWidth="0" w:num="1">
            <w:col w:w="10140"/>
          </w:cols>
          <w:pgMar w:left="320" w:top="679" w:right="1440" w:bottom="1440" w:gutter="0" w:footer="0" w:header="0"/>
        </w:sectPr>
      </w:pPr>
    </w:p>
    <w:p>
      <w:pPr>
        <w:spacing w:after="0" w:line="207"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6"/>
          <w:szCs w:val="16"/>
          <w:color w:val="auto"/>
        </w:rPr>
        <w:t>Proxy Statement Pursuant to Section 14(a) of</w:t>
      </w:r>
    </w:p>
    <w:p>
      <w:pPr>
        <w:spacing w:after="0" w:line="32"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64" w:lineRule="exact"/>
        <w:rPr>
          <w:sz w:val="24"/>
          <w:szCs w:val="24"/>
          <w:color w:val="auto"/>
        </w:rPr>
      </w:pPr>
    </w:p>
    <w:p>
      <w:pPr>
        <w:sectPr>
          <w:pgSz w:w="11900" w:h="16838" w:orient="portrait"/>
          <w:cols w:equalWidth="0" w:num="2">
            <w:col w:w="7180" w:space="420"/>
            <w:col w:w="2539"/>
          </w:cols>
          <w:pgMar w:left="320" w:top="679" w:right="1440" w:bottom="144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20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203" w:lineRule="exact"/>
        <w:rPr>
          <w:sz w:val="24"/>
          <w:szCs w:val="24"/>
          <w:color w:val="auto"/>
        </w:rPr>
      </w:pPr>
    </w:p>
    <w:p>
      <w:pPr>
        <w:ind w:left="300" w:hanging="300"/>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202" w:lineRule="exact"/>
        <w:rPr>
          <w:rFonts w:ascii="MS PGothic" w:cs="MS PGothic" w:eastAsia="MS PGothic" w:hAnsi="MS PGothic"/>
          <w:sz w:val="17"/>
          <w:szCs w:val="17"/>
          <w:color w:val="auto"/>
        </w:rPr>
      </w:pPr>
    </w:p>
    <w:p>
      <w:pPr>
        <w:ind w:left="300" w:hanging="300"/>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Confidential, for Use of the Commission Only (as permitted by Rule 14a-6(e)(2))</w:t>
      </w:r>
    </w:p>
    <w:p>
      <w:pPr>
        <w:spacing w:after="0" w:line="203" w:lineRule="exact"/>
        <w:rPr>
          <w:sz w:val="24"/>
          <w:szCs w:val="24"/>
          <w:color w:val="auto"/>
        </w:rPr>
      </w:pPr>
    </w:p>
    <w:p>
      <w:pPr>
        <w:ind w:left="300" w:hanging="300"/>
        <w:spacing w:after="0"/>
        <w:tabs>
          <w:tab w:leader="none" w:pos="3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203" w:lineRule="exact"/>
        <w:rPr>
          <w:sz w:val="24"/>
          <w:szCs w:val="24"/>
          <w:color w:val="auto"/>
        </w:rPr>
      </w:pPr>
    </w:p>
    <w:p>
      <w:pPr>
        <w:ind w:left="300" w:hanging="300"/>
        <w:spacing w:after="0"/>
        <w:tabs>
          <w:tab w:leader="none" w:pos="3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202" w:lineRule="exact"/>
        <w:rPr>
          <w:rFonts w:ascii="MS PGothic" w:cs="MS PGothic" w:eastAsia="MS PGothic" w:hAnsi="MS PGothic"/>
          <w:sz w:val="17"/>
          <w:szCs w:val="17"/>
          <w:color w:val="auto"/>
        </w:rPr>
      </w:pPr>
    </w:p>
    <w:p>
      <w:pPr>
        <w:ind w:left="300" w:hanging="300"/>
        <w:spacing w:after="0"/>
        <w:tabs>
          <w:tab w:leader="none" w:pos="3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§240.14a-12</w:t>
      </w:r>
    </w:p>
    <w:p>
      <w:pPr>
        <w:spacing w:after="0" w:line="19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3"/>
          <w:szCs w:val="23"/>
          <w:b w:val="1"/>
          <w:bCs w:val="1"/>
          <w:color w:val="auto"/>
        </w:rPr>
        <w:t>WHITE MOUNTAINS INSURANCE GROUP,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1066800</wp:posOffset>
            </wp:positionH>
            <wp:positionV relativeFrom="paragraph">
              <wp:posOffset>22225</wp:posOffset>
            </wp:positionV>
            <wp:extent cx="500951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09515" cy="7620"/>
                    </a:xfrm>
                    <a:prstGeom prst="rect">
                      <a:avLst/>
                    </a:prstGeom>
                    <a:noFill/>
                  </pic:spPr>
                </pic:pic>
              </a:graphicData>
            </a:graphic>
          </wp:anchor>
        </w:drawing>
      </w:r>
    </w:p>
    <w:p>
      <w:pPr>
        <w:spacing w:after="0" w:line="22"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1066800</wp:posOffset>
            </wp:positionH>
            <wp:positionV relativeFrom="paragraph">
              <wp:posOffset>131445</wp:posOffset>
            </wp:positionV>
            <wp:extent cx="500951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09515" cy="7620"/>
                    </a:xfrm>
                    <a:prstGeom prst="rect">
                      <a:avLst/>
                    </a:prstGeom>
                    <a:noFill/>
                  </pic:spPr>
                </pic:pic>
              </a:graphicData>
            </a:graphic>
          </wp:anchor>
        </w:drawing>
      </w:r>
    </w:p>
    <w:p>
      <w:pPr>
        <w:spacing w:after="0" w:line="382"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03"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203" w:lineRule="exact"/>
        <w:rPr>
          <w:sz w:val="24"/>
          <w:szCs w:val="24"/>
          <w:color w:val="auto"/>
        </w:rPr>
      </w:pPr>
    </w:p>
    <w:p>
      <w:pPr>
        <w:ind w:left="2240" w:hanging="561"/>
        <w:spacing w:after="0"/>
        <w:tabs>
          <w:tab w:leader="none" w:pos="224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03" w:lineRule="exact"/>
        <w:rPr>
          <w:sz w:val="24"/>
          <w:szCs w:val="24"/>
          <w:color w:val="auto"/>
        </w:rPr>
      </w:pPr>
    </w:p>
    <w:p>
      <w:pPr>
        <w:ind w:left="2240" w:hanging="561"/>
        <w:spacing w:after="0"/>
        <w:tabs>
          <w:tab w:leader="none" w:pos="224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202" w:lineRule="exact"/>
        <w:rPr>
          <w:rFonts w:ascii="MS PGothic" w:cs="MS PGothic" w:eastAsia="MS PGothic" w:hAnsi="MS PGothic"/>
          <w:sz w:val="17"/>
          <w:szCs w:val="17"/>
          <w:color w:val="auto"/>
        </w:rPr>
      </w:pPr>
    </w:p>
    <w:p>
      <w:pPr>
        <w:ind w:left="2240" w:hanging="561"/>
        <w:spacing w:after="0"/>
        <w:tabs>
          <w:tab w:leader="none" w:pos="224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146685</wp:posOffset>
            </wp:positionV>
            <wp:extent cx="714311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170180</wp:posOffset>
            </wp:positionV>
            <wp:extent cx="714311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557530</wp:posOffset>
            </wp:positionV>
            <wp:extent cx="714311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0140"/>
          </w:cols>
          <w:pgMar w:left="320" w:top="679"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1988820</wp:posOffset>
            </wp:positionH>
            <wp:positionV relativeFrom="page">
              <wp:posOffset>2411730</wp:posOffset>
            </wp:positionV>
            <wp:extent cx="357124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712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Notice of 2026</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Annual General Meeting</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Of Members and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168275</wp:posOffset>
            </wp:positionV>
            <wp:extent cx="357124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71240" cy="7620"/>
                    </a:xfrm>
                    <a:prstGeom prst="rect">
                      <a:avLst/>
                    </a:prstGeom>
                    <a:noFill/>
                  </pic:spPr>
                </pic:pic>
              </a:graphicData>
            </a:graphic>
          </wp:anchor>
        </w:drawing>
        <w:drawing>
          <wp:anchor simplePos="0" relativeHeight="251657728" behindDoc="1" locked="0" layoutInCell="0" allowOverlap="1">
            <wp:simplePos x="0" y="0"/>
            <wp:positionH relativeFrom="column">
              <wp:posOffset>-710565</wp:posOffset>
            </wp:positionH>
            <wp:positionV relativeFrom="paragraph">
              <wp:posOffset>4775200</wp:posOffset>
            </wp:positionV>
            <wp:extent cx="714311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2164715</wp:posOffset>
            </wp:positionH>
            <wp:positionV relativeFrom="paragraph">
              <wp:posOffset>1614805</wp:posOffset>
            </wp:positionV>
            <wp:extent cx="1390650" cy="1485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90650" cy="148526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ind w:left="3720"/>
        <w:spacing w:after="0"/>
        <w:rPr>
          <w:sz w:val="20"/>
          <w:szCs w:val="20"/>
          <w:color w:val="auto"/>
        </w:rPr>
      </w:pPr>
      <w:r>
        <w:rPr>
          <w:rFonts w:ascii="Arial" w:cs="Arial" w:eastAsia="Arial" w:hAnsi="Arial"/>
          <w:sz w:val="18"/>
          <w:szCs w:val="18"/>
          <w:color w:val="auto"/>
        </w:rPr>
        <w:t>LETTER FROM THE BOARD OF DIRECTORS</w:t>
      </w:r>
    </w:p>
    <w:p>
      <w:pPr>
        <w:spacing w:after="0" w:line="190" w:lineRule="exact"/>
        <w:rPr>
          <w:sz w:val="20"/>
          <w:szCs w:val="20"/>
          <w:color w:val="auto"/>
        </w:rPr>
      </w:pPr>
    </w:p>
    <w:p>
      <w:pPr>
        <w:spacing w:after="0"/>
        <w:rPr>
          <w:sz w:val="20"/>
          <w:szCs w:val="20"/>
          <w:color w:val="auto"/>
        </w:rPr>
      </w:pPr>
      <w:r>
        <w:rPr>
          <w:rFonts w:ascii="Arial" w:cs="Arial" w:eastAsia="Arial" w:hAnsi="Arial"/>
          <w:sz w:val="23"/>
          <w:szCs w:val="23"/>
          <w:b w:val="1"/>
          <w:bCs w:val="1"/>
          <w:color w:val="0070C0"/>
        </w:rPr>
        <w:t>FROM OUR BOARD OF DIRECTORS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19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As your Board of Directors, we oversee White Mountains’s efforts to create superior growth in intrinsic value per share over long periods of time. Your Company seeks to achieve this goal by making opportunistic and value-oriented acquisitions of businesses primarily in the insurance, financial services and related sectors, operating these businesses and, if and when attractive exit valuations become available, disposing of these businesses. Since the Company’s IPO in 1985, we have delivered annualized growth in book value per share of 13% and market value per share of 12%.</w:t>
      </w:r>
    </w:p>
    <w:p>
      <w:pPr>
        <w:spacing w:after="0" w:line="160"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2025 was an excellent year for your Company. We finished 2025 with book value per share of $2,188, up 25% for the year. The successful sale of Bamboo in December was the biggest driver, adding roughly $320 to book value per share. Total shareholder return was 7% in 2025, compared to 18% for the S&amp;P 500 and 10% for the S&amp;P 500 P&amp;C Insurance Index.</w:t>
      </w:r>
    </w:p>
    <w:p>
      <w:pPr>
        <w:spacing w:after="0" w:line="150"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Apart from Bamboo, our operating businesses generally produced solid to very good results in 2025. Ark produced excellent results while growing premiums 16%. Kudu had a good year, producing a 13% return on equity and closing three acquisitions during the year. HG Global generated premiums of $61 million, driven by strong activity in the primary and secondary markets.</w:t>
      </w:r>
    </w:p>
    <w:p>
      <w:pPr>
        <w:spacing w:after="0" w:line="150"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Your Company also added value through capital deployment and capital management activities. During the year, we acquired a majority stake in Distinguished Programs, an MGA and program administrator for specialty property &amp; casualty insurance, and made a strategic investment in BroadStreet Partners, a top-10 North American insurance brokerage. In April, White Mountains Partners completed its acquisition of Enterprise Solutions, a leading provider of specialty electrical contracting services. And, over the year, we repurchased roughly $200 million of shares, inclusive of our self-tender offer, at accretive prices.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Board takes its role in the planning of thoughtful, orderly succession seriously, and we were delighted to announce Liam Caffrey’s</w:t>
      </w:r>
    </w:p>
    <w:p>
      <w:pPr>
        <w:spacing w:after="0" w:line="13" w:lineRule="exact"/>
        <w:rPr>
          <w:sz w:val="20"/>
          <w:szCs w:val="20"/>
          <w:color w:val="auto"/>
        </w:rPr>
      </w:pPr>
    </w:p>
    <w:p>
      <w:pPr>
        <w:ind w:right="80"/>
        <w:spacing w:after="0" w:line="218" w:lineRule="auto"/>
        <w:rPr>
          <w:sz w:val="20"/>
          <w:szCs w:val="20"/>
          <w:color w:val="auto"/>
        </w:rPr>
      </w:pPr>
      <w:r>
        <w:rPr>
          <w:rFonts w:ascii="Arial" w:cs="Arial" w:eastAsia="Arial" w:hAnsi="Arial"/>
          <w:sz w:val="18"/>
          <w:szCs w:val="18"/>
          <w:color w:val="auto"/>
        </w:rPr>
        <w:t>promotion to CEO and appointment as a fellow Director effective January 1</w:t>
      </w:r>
      <w:r>
        <w:rPr>
          <w:rFonts w:ascii="Arial" w:cs="Arial" w:eastAsia="Arial" w:hAnsi="Arial"/>
          <w:sz w:val="30"/>
          <w:szCs w:val="30"/>
          <w:color w:val="auto"/>
          <w:vertAlign w:val="superscript"/>
        </w:rPr>
        <w:t>st</w:t>
      </w:r>
      <w:r>
        <w:rPr>
          <w:rFonts w:ascii="Arial" w:cs="Arial" w:eastAsia="Arial" w:hAnsi="Arial"/>
          <w:sz w:val="18"/>
          <w:szCs w:val="18"/>
          <w:color w:val="auto"/>
        </w:rPr>
        <w:t>. Mr. Caffrey is a proven executive who brings deep insurance experience to his new role, and we are confident that owners will prosper under his leadership. We also congratulated our outgoing CEO, Manning Rountree, on his well-deserved retirement after an impactful 21-year career at White Mountains. The Company flourished during his tenure as CEO, and he left it well-positioned for the future. We are pleased that Mr. Rountree will remain employed as a Senior Advisor through January 1, 2028.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Dialogue with Shareholders Through Proactive Engagement</w:t>
      </w:r>
    </w:p>
    <w:p>
      <w:pPr>
        <w:spacing w:after="0" w:line="191"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Over the last year, members of the Board and management reached out to shareholders owning 75% of White Mountains’s shares outstanding and met with all shareholders--owning 31% of shares outstanding--who accepted a meeting. In years past, feedback from these shareholder discussions has informed changes to our executive compensation program and enhanced disclosures about the skills and areas of expertise of our Board, as well as improvements to our ESG, risk management and human capital management practices. This year, these shareholder discussions focused primarily on our business performance and outlook, approach to capital management, CEO and CFO succession, board composition and refreshment, compensation philosophy and corporate governance practices. Shareholders were supportive and provided valuable feedback.</w:t>
      </w:r>
    </w:p>
    <w:p>
      <w:pPr>
        <w:spacing w:after="0" w:line="162"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Our core principles served us well in 2025 and will continue to guide us going forward. It is a privilege to serve as your Board, and we value highly your support of White Mountains.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White Mountains Insurance Group Board of Directors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20"/>
                <w:szCs w:val="20"/>
                <w:color w:val="auto"/>
              </w:rPr>
            </w:pPr>
            <w:r>
              <w:rPr>
                <w:rFonts w:ascii="Arial" w:cs="Arial" w:eastAsia="Arial" w:hAnsi="Arial"/>
                <w:sz w:val="18"/>
                <w:szCs w:val="18"/>
                <w:color w:val="auto"/>
              </w:rPr>
              <w:t>Weston M. Hicks, Chair</w:t>
            </w:r>
          </w:p>
        </w:tc>
        <w:tc>
          <w:tcPr>
            <w:tcW w:w="2100" w:type="dxa"/>
            <w:vAlign w:val="bottom"/>
          </w:tcPr>
          <w:p>
            <w:pPr>
              <w:ind w:left="240"/>
              <w:spacing w:after="0"/>
              <w:rPr>
                <w:sz w:val="20"/>
                <w:szCs w:val="20"/>
                <w:color w:val="auto"/>
              </w:rPr>
            </w:pPr>
            <w:r>
              <w:rPr>
                <w:rFonts w:ascii="Arial" w:cs="Arial" w:eastAsia="Arial" w:hAnsi="Arial"/>
                <w:sz w:val="18"/>
                <w:szCs w:val="18"/>
                <w:color w:val="auto"/>
              </w:rPr>
              <w:t>Liam P. Caffrey</w:t>
            </w:r>
          </w:p>
        </w:tc>
        <w:tc>
          <w:tcPr>
            <w:tcW w:w="2380" w:type="dxa"/>
            <w:vAlign w:val="bottom"/>
          </w:tcPr>
          <w:p>
            <w:pPr>
              <w:ind w:left="520"/>
              <w:spacing w:after="0"/>
              <w:rPr>
                <w:sz w:val="20"/>
                <w:szCs w:val="20"/>
                <w:color w:val="auto"/>
              </w:rPr>
            </w:pPr>
            <w:r>
              <w:rPr>
                <w:rFonts w:ascii="Arial" w:cs="Arial" w:eastAsia="Arial" w:hAnsi="Arial"/>
                <w:sz w:val="18"/>
                <w:szCs w:val="18"/>
                <w:color w:val="auto"/>
              </w:rPr>
              <w:t>Reid T. Campbell</w:t>
            </w:r>
          </w:p>
        </w:tc>
        <w:tc>
          <w:tcPr>
            <w:tcW w:w="2180" w:type="dxa"/>
            <w:vAlign w:val="bottom"/>
          </w:tcPr>
          <w:p>
            <w:pPr>
              <w:ind w:left="380"/>
              <w:spacing w:after="0"/>
              <w:rPr>
                <w:sz w:val="20"/>
                <w:szCs w:val="20"/>
                <w:color w:val="auto"/>
              </w:rPr>
            </w:pPr>
            <w:r>
              <w:rPr>
                <w:rFonts w:ascii="Arial" w:cs="Arial" w:eastAsia="Arial" w:hAnsi="Arial"/>
                <w:sz w:val="18"/>
                <w:szCs w:val="18"/>
                <w:color w:val="auto"/>
              </w:rPr>
              <w:t>Peter M. Carlson</w:t>
            </w:r>
          </w:p>
        </w:tc>
        <w:tc>
          <w:tcPr>
            <w:tcW w:w="2440" w:type="dxa"/>
            <w:vAlign w:val="bottom"/>
          </w:tcPr>
          <w:p>
            <w:pPr>
              <w:ind w:left="440"/>
              <w:spacing w:after="0"/>
              <w:rPr>
                <w:sz w:val="20"/>
                <w:szCs w:val="20"/>
                <w:color w:val="auto"/>
              </w:rPr>
            </w:pPr>
            <w:r>
              <w:rPr>
                <w:rFonts w:ascii="Arial" w:cs="Arial" w:eastAsia="Arial" w:hAnsi="Arial"/>
                <w:sz w:val="18"/>
                <w:szCs w:val="18"/>
                <w:color w:val="auto"/>
              </w:rPr>
              <w:t>Mary C. Choksi</w:t>
            </w:r>
          </w:p>
        </w:tc>
      </w:tr>
      <w:tr>
        <w:trPr>
          <w:trHeight w:val="241"/>
        </w:trPr>
        <w:tc>
          <w:tcPr>
            <w:tcW w:w="2140" w:type="dxa"/>
            <w:vAlign w:val="bottom"/>
          </w:tcPr>
          <w:p>
            <w:pPr>
              <w:spacing w:after="0"/>
              <w:rPr>
                <w:sz w:val="20"/>
                <w:szCs w:val="20"/>
                <w:color w:val="auto"/>
              </w:rPr>
            </w:pPr>
            <w:r>
              <w:rPr>
                <w:rFonts w:ascii="Arial" w:cs="Arial" w:eastAsia="Arial" w:hAnsi="Arial"/>
                <w:sz w:val="18"/>
                <w:szCs w:val="18"/>
                <w:color w:val="auto"/>
              </w:rPr>
              <w:t>Margaret Dillon</w:t>
            </w:r>
          </w:p>
        </w:tc>
        <w:tc>
          <w:tcPr>
            <w:tcW w:w="2100" w:type="dxa"/>
            <w:vAlign w:val="bottom"/>
          </w:tcPr>
          <w:p>
            <w:pPr>
              <w:ind w:left="240"/>
              <w:spacing w:after="0"/>
              <w:rPr>
                <w:sz w:val="20"/>
                <w:szCs w:val="20"/>
                <w:color w:val="auto"/>
              </w:rPr>
            </w:pPr>
            <w:r>
              <w:rPr>
                <w:rFonts w:ascii="Arial" w:cs="Arial" w:eastAsia="Arial" w:hAnsi="Arial"/>
                <w:sz w:val="18"/>
                <w:szCs w:val="18"/>
                <w:color w:val="auto"/>
              </w:rPr>
              <w:t>Philip A. Gelston</w:t>
            </w:r>
          </w:p>
        </w:tc>
        <w:tc>
          <w:tcPr>
            <w:tcW w:w="2380" w:type="dxa"/>
            <w:vAlign w:val="bottom"/>
          </w:tcPr>
          <w:p>
            <w:pPr>
              <w:ind w:left="520"/>
              <w:spacing w:after="0"/>
              <w:rPr>
                <w:sz w:val="20"/>
                <w:szCs w:val="20"/>
                <w:color w:val="auto"/>
              </w:rPr>
            </w:pPr>
            <w:r>
              <w:rPr>
                <w:rFonts w:ascii="Arial" w:cs="Arial" w:eastAsia="Arial" w:hAnsi="Arial"/>
                <w:sz w:val="18"/>
                <w:szCs w:val="18"/>
                <w:color w:val="auto"/>
              </w:rPr>
              <w:t>Suzanne F. Shank</w:t>
            </w:r>
          </w:p>
        </w:tc>
        <w:tc>
          <w:tcPr>
            <w:tcW w:w="2180" w:type="dxa"/>
            <w:vAlign w:val="bottom"/>
          </w:tcPr>
          <w:p>
            <w:pPr>
              <w:ind w:left="380"/>
              <w:spacing w:after="0"/>
              <w:rPr>
                <w:sz w:val="20"/>
                <w:szCs w:val="20"/>
                <w:color w:val="auto"/>
              </w:rPr>
            </w:pPr>
            <w:r>
              <w:rPr>
                <w:rFonts w:ascii="Arial" w:cs="Arial" w:eastAsia="Arial" w:hAnsi="Arial"/>
                <w:sz w:val="18"/>
                <w:szCs w:val="18"/>
                <w:color w:val="auto"/>
              </w:rPr>
              <w:t>David A. Tanner</w:t>
            </w:r>
          </w:p>
        </w:tc>
        <w:tc>
          <w:tcPr>
            <w:tcW w:w="2440" w:type="dxa"/>
            <w:vAlign w:val="bottom"/>
          </w:tcPr>
          <w:p>
            <w:pPr>
              <w:ind w:left="440"/>
              <w:spacing w:after="0"/>
              <w:rPr>
                <w:sz w:val="20"/>
                <w:szCs w:val="20"/>
                <w:color w:val="auto"/>
              </w:rPr>
            </w:pPr>
            <w:r>
              <w:rPr>
                <w:rFonts w:ascii="Arial" w:cs="Arial" w:eastAsia="Arial" w:hAnsi="Arial"/>
                <w:sz w:val="18"/>
                <w:szCs w:val="18"/>
                <w:color w:val="auto"/>
              </w:rPr>
              <w:t>Steven M. Yi</w:t>
            </w:r>
          </w:p>
        </w:tc>
      </w:tr>
      <w:tr>
        <w:trPr>
          <w:trHeight w:val="398"/>
        </w:trPr>
        <w:tc>
          <w:tcPr>
            <w:tcW w:w="2140" w:type="dxa"/>
            <w:vAlign w:val="bottom"/>
          </w:tcPr>
          <w:p>
            <w:pPr>
              <w:spacing w:after="0"/>
              <w:rPr>
                <w:sz w:val="20"/>
                <w:szCs w:val="20"/>
                <w:color w:val="auto"/>
              </w:rPr>
            </w:pPr>
            <w:r>
              <w:rPr>
                <w:rFonts w:ascii="Arial" w:cs="Arial" w:eastAsia="Arial" w:hAnsi="Arial"/>
                <w:sz w:val="18"/>
                <w:szCs w:val="18"/>
                <w:color w:val="auto"/>
              </w:rPr>
              <w:t>April 1, 2026</w:t>
            </w:r>
          </w:p>
        </w:tc>
        <w:tc>
          <w:tcPr>
            <w:tcW w:w="2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577"/>
        </w:trPr>
        <w:tc>
          <w:tcPr>
            <w:tcW w:w="2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3"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780" w:type="dxa"/>
            <w:vAlign w:val="bottom"/>
            <w:tcBorders>
              <w:bottom w:val="single" w:sz="8" w:color="auto"/>
            </w:tcBorders>
            <w:gridSpan w:val="22"/>
          </w:tcPr>
          <w:p>
            <w:pPr>
              <w:spacing w:after="0"/>
              <w:rPr>
                <w:sz w:val="20"/>
                <w:szCs w:val="20"/>
                <w:color w:val="auto"/>
              </w:rPr>
            </w:pPr>
            <w:r>
              <w:rPr>
                <w:rFonts w:ascii="Arial" w:cs="Arial" w:eastAsia="Arial" w:hAnsi="Arial"/>
                <w:sz w:val="20"/>
                <w:szCs w:val="20"/>
                <w:b w:val="1"/>
                <w:bCs w:val="1"/>
                <w:color w:val="auto"/>
              </w:rPr>
              <w:t>Table of Contents</w:t>
            </w:r>
          </w:p>
        </w:tc>
        <w:tc>
          <w:tcPr>
            <w:tcW w:w="2460" w:type="dxa"/>
            <w:vAlign w:val="bottom"/>
            <w:tcBorders>
              <w:bottom w:val="single" w:sz="8" w:color="auto"/>
            </w:tcBorders>
            <w:gridSpan w:val="5"/>
          </w:tcPr>
          <w:p>
            <w:pPr>
              <w:ind w:left="1400"/>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279"/>
        </w:trPr>
        <w:tc>
          <w:tcPr>
            <w:tcW w:w="148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w w:val="96"/>
              </w:rPr>
              <w:t>PROXY SUMMARY</w:t>
            </w:r>
          </w:p>
        </w:tc>
        <w:tc>
          <w:tcPr>
            <w:tcW w:w="7300" w:type="dxa"/>
            <w:vAlign w:val="bottom"/>
            <w:gridSpan w:val="18"/>
          </w:tcPr>
          <w:p>
            <w:pPr>
              <w:spacing w:after="0"/>
              <w:rPr>
                <w:sz w:val="24"/>
                <w:szCs w:val="24"/>
                <w:color w:val="auto"/>
              </w:rPr>
            </w:pPr>
          </w:p>
        </w:tc>
        <w:tc>
          <w:tcPr>
            <w:tcW w:w="170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7"/>
                <w:szCs w:val="17"/>
                <w:color w:val="0000EE"/>
                <w:w w:val="84"/>
              </w:rPr>
              <w:t>2</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840" w:type="dxa"/>
            <w:vAlign w:val="bottom"/>
            <w:tcBorders>
              <w:bottom w:val="single" w:sz="8" w:color="0000EE"/>
            </w:tcBorders>
            <w:gridSpan w:val="18"/>
          </w:tcPr>
          <w:p>
            <w:pPr>
              <w:spacing w:after="0"/>
              <w:rPr>
                <w:sz w:val="20"/>
                <w:szCs w:val="20"/>
                <w:color w:val="auto"/>
              </w:rPr>
            </w:pPr>
            <w:r>
              <w:rPr>
                <w:rFonts w:ascii="Arial" w:cs="Arial" w:eastAsia="Arial" w:hAnsi="Arial"/>
                <w:sz w:val="17"/>
                <w:szCs w:val="17"/>
                <w:color w:val="0000EE"/>
                <w:w w:val="97"/>
              </w:rPr>
              <w:t>NOTICE OF 2026 ANNUAL GENERAL MEETING OF MEMBERS</w:t>
            </w:r>
          </w:p>
        </w:tc>
        <w:tc>
          <w:tcPr>
            <w:tcW w:w="3940" w:type="dxa"/>
            <w:vAlign w:val="bottom"/>
            <w:gridSpan w:val="4"/>
          </w:tcPr>
          <w:p>
            <w:pPr>
              <w:spacing w:after="0"/>
              <w:rPr>
                <w:sz w:val="24"/>
                <w:szCs w:val="24"/>
                <w:color w:val="auto"/>
              </w:rPr>
            </w:pPr>
          </w:p>
        </w:tc>
        <w:tc>
          <w:tcPr>
            <w:tcW w:w="170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7"/>
                <w:szCs w:val="17"/>
                <w:color w:val="0000EE"/>
                <w:w w:val="84"/>
              </w:rPr>
              <w:t>8</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8780" w:type="dxa"/>
            <w:vAlign w:val="bottom"/>
            <w:gridSpan w:val="22"/>
          </w:tcPr>
          <w:p>
            <w:pPr>
              <w:spacing w:after="0"/>
              <w:rPr>
                <w:sz w:val="20"/>
                <w:szCs w:val="20"/>
                <w:color w:val="auto"/>
              </w:rPr>
            </w:pPr>
            <w:r>
              <w:rPr>
                <w:rFonts w:ascii="Arial" w:cs="Arial" w:eastAsia="Arial" w:hAnsi="Arial"/>
                <w:sz w:val="17"/>
                <w:szCs w:val="17"/>
                <w:color w:val="0000EE"/>
              </w:rPr>
              <w:t>PROXY STATEMENT</w:t>
            </w:r>
          </w:p>
        </w:tc>
        <w:tc>
          <w:tcPr>
            <w:tcW w:w="1800" w:type="dxa"/>
            <w:vAlign w:val="bottom"/>
            <w:gridSpan w:val="4"/>
          </w:tcPr>
          <w:p>
            <w:pPr>
              <w:jc w:val="right"/>
              <w:spacing w:after="0"/>
              <w:rPr>
                <w:sz w:val="20"/>
                <w:szCs w:val="20"/>
                <w:color w:val="auto"/>
              </w:rPr>
            </w:pPr>
            <w:r>
              <w:rPr>
                <w:rFonts w:ascii="Arial" w:cs="Arial" w:eastAsia="Arial" w:hAnsi="Arial"/>
                <w:sz w:val="17"/>
                <w:szCs w:val="17"/>
                <w:color w:val="0000EE"/>
              </w:rPr>
              <w:t>9</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0" w:type="dxa"/>
            <w:vAlign w:val="bottom"/>
          </w:tcPr>
          <w:p>
            <w:pPr>
              <w:spacing w:after="0"/>
              <w:rPr>
                <w:sz w:val="24"/>
                <w:szCs w:val="24"/>
                <w:color w:val="auto"/>
              </w:rPr>
            </w:pPr>
          </w:p>
        </w:tc>
        <w:tc>
          <w:tcPr>
            <w:tcW w:w="8480" w:type="dxa"/>
            <w:vAlign w:val="bottom"/>
            <w:gridSpan w:val="21"/>
          </w:tcPr>
          <w:p>
            <w:pPr>
              <w:spacing w:after="0"/>
              <w:rPr>
                <w:sz w:val="20"/>
                <w:szCs w:val="20"/>
                <w:color w:val="auto"/>
              </w:rPr>
            </w:pPr>
            <w:r>
              <w:rPr>
                <w:rFonts w:ascii="Arial" w:cs="Arial" w:eastAsia="Arial" w:hAnsi="Arial"/>
                <w:sz w:val="17"/>
                <w:szCs w:val="17"/>
                <w:b w:val="1"/>
                <w:bCs w:val="1"/>
                <w:i w:val="1"/>
                <w:iCs w:val="1"/>
                <w:color w:val="0000EE"/>
              </w:rPr>
              <w:t>PROPOSAL 1:  ELECTION OF THE COMPANY’S DIRECTORS</w:t>
            </w:r>
          </w:p>
        </w:tc>
        <w:tc>
          <w:tcPr>
            <w:tcW w:w="2460" w:type="dxa"/>
            <w:vAlign w:val="bottom"/>
            <w:gridSpan w:val="5"/>
          </w:tcPr>
          <w:p>
            <w:pPr>
              <w:jc w:val="right"/>
              <w:ind w:right="660"/>
              <w:spacing w:after="0"/>
              <w:rPr>
                <w:sz w:val="20"/>
                <w:szCs w:val="20"/>
                <w:color w:val="auto"/>
              </w:rPr>
            </w:pPr>
            <w:r>
              <w:rPr>
                <w:rFonts w:ascii="Arial" w:cs="Arial" w:eastAsia="Arial" w:hAnsi="Arial"/>
                <w:sz w:val="17"/>
                <w:szCs w:val="17"/>
                <w:color w:val="0000EE"/>
              </w:rPr>
              <w:t>10</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180" w:type="dxa"/>
            <w:vAlign w:val="bottom"/>
            <w:gridSpan w:val="20"/>
          </w:tcPr>
          <w:p>
            <w:pPr>
              <w:spacing w:after="0"/>
              <w:rPr>
                <w:sz w:val="20"/>
                <w:szCs w:val="20"/>
                <w:color w:val="auto"/>
              </w:rPr>
            </w:pPr>
            <w:r>
              <w:rPr>
                <w:rFonts w:ascii="Arial" w:cs="Arial" w:eastAsia="Arial" w:hAnsi="Arial"/>
                <w:sz w:val="17"/>
                <w:szCs w:val="17"/>
                <w:color w:val="0000EE"/>
              </w:rPr>
              <w:t>The Board of Directors</w:t>
            </w:r>
          </w:p>
        </w:tc>
        <w:tc>
          <w:tcPr>
            <w:tcW w:w="2460" w:type="dxa"/>
            <w:vAlign w:val="bottom"/>
            <w:gridSpan w:val="5"/>
          </w:tcPr>
          <w:p>
            <w:pPr>
              <w:jc w:val="right"/>
              <w:ind w:right="660"/>
              <w:spacing w:after="0"/>
              <w:rPr>
                <w:sz w:val="20"/>
                <w:szCs w:val="20"/>
                <w:color w:val="auto"/>
              </w:rPr>
            </w:pPr>
            <w:r>
              <w:rPr>
                <w:rFonts w:ascii="Arial" w:cs="Arial" w:eastAsia="Arial" w:hAnsi="Arial"/>
                <w:sz w:val="17"/>
                <w:szCs w:val="17"/>
                <w:color w:val="0000EE"/>
              </w:rPr>
              <w:t>10</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180" w:type="dxa"/>
            <w:vAlign w:val="bottom"/>
            <w:gridSpan w:val="20"/>
          </w:tcPr>
          <w:p>
            <w:pPr>
              <w:spacing w:after="0"/>
              <w:rPr>
                <w:sz w:val="20"/>
                <w:szCs w:val="20"/>
                <w:color w:val="auto"/>
              </w:rPr>
            </w:pPr>
            <w:r>
              <w:rPr>
                <w:rFonts w:ascii="Arial" w:cs="Arial" w:eastAsia="Arial" w:hAnsi="Arial"/>
                <w:sz w:val="17"/>
                <w:szCs w:val="17"/>
                <w:color w:val="0000EE"/>
              </w:rPr>
              <w:t>Corporate Governance</w:t>
            </w:r>
          </w:p>
        </w:tc>
        <w:tc>
          <w:tcPr>
            <w:tcW w:w="2460" w:type="dxa"/>
            <w:vAlign w:val="bottom"/>
            <w:gridSpan w:val="5"/>
          </w:tcPr>
          <w:p>
            <w:pPr>
              <w:jc w:val="right"/>
              <w:ind w:right="660"/>
              <w:spacing w:after="0"/>
              <w:rPr>
                <w:sz w:val="20"/>
                <w:szCs w:val="20"/>
                <w:color w:val="auto"/>
              </w:rPr>
            </w:pPr>
            <w:r>
              <w:rPr>
                <w:rFonts w:ascii="Arial" w:cs="Arial" w:eastAsia="Arial" w:hAnsi="Arial"/>
                <w:sz w:val="17"/>
                <w:szCs w:val="17"/>
                <w:color w:val="0000EE"/>
              </w:rPr>
              <w:t>18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40" w:type="dxa"/>
            <w:vAlign w:val="bottom"/>
            <w:gridSpan w:val="15"/>
          </w:tcPr>
          <w:p>
            <w:pPr>
              <w:spacing w:after="0"/>
              <w:rPr>
                <w:sz w:val="20"/>
                <w:szCs w:val="20"/>
                <w:color w:val="auto"/>
              </w:rPr>
            </w:pPr>
            <w:r>
              <w:rPr>
                <w:rFonts w:ascii="Arial" w:cs="Arial" w:eastAsia="Arial" w:hAnsi="Arial"/>
                <w:sz w:val="17"/>
                <w:szCs w:val="17"/>
                <w:color w:val="0000EE"/>
              </w:rPr>
              <w:t>Voting Securities and Principal Holders Thereof</w:t>
            </w:r>
          </w:p>
        </w:tc>
        <w:tc>
          <w:tcPr>
            <w:tcW w:w="4340" w:type="dxa"/>
            <w:vAlign w:val="bottom"/>
            <w:gridSpan w:val="5"/>
          </w:tcPr>
          <w:p>
            <w:pPr>
              <w:spacing w:after="0"/>
              <w:rPr>
                <w:sz w:val="24"/>
                <w:szCs w:val="24"/>
                <w:color w:val="auto"/>
              </w:rPr>
            </w:pPr>
          </w:p>
        </w:tc>
        <w:tc>
          <w:tcPr>
            <w:tcW w:w="2460" w:type="dxa"/>
            <w:vAlign w:val="bottom"/>
            <w:gridSpan w:val="5"/>
          </w:tcPr>
          <w:p>
            <w:pPr>
              <w:jc w:val="right"/>
              <w:ind w:right="660"/>
              <w:spacing w:after="0"/>
              <w:rPr>
                <w:sz w:val="20"/>
                <w:szCs w:val="20"/>
                <w:color w:val="auto"/>
              </w:rPr>
            </w:pPr>
            <w:r>
              <w:rPr>
                <w:rFonts w:ascii="Arial" w:cs="Arial" w:eastAsia="Arial" w:hAnsi="Arial"/>
                <w:sz w:val="17"/>
                <w:szCs w:val="17"/>
                <w:color w:val="0000EE"/>
              </w:rPr>
              <w:t>26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10"/>
          </w:tcPr>
          <w:p>
            <w:pPr>
              <w:spacing w:after="0"/>
              <w:rPr>
                <w:sz w:val="20"/>
                <w:szCs w:val="20"/>
                <w:color w:val="auto"/>
              </w:rPr>
            </w:pPr>
            <w:r>
              <w:rPr>
                <w:rFonts w:ascii="Arial" w:cs="Arial" w:eastAsia="Arial" w:hAnsi="Arial"/>
                <w:sz w:val="17"/>
                <w:szCs w:val="17"/>
                <w:color w:val="0000EE"/>
                <w:w w:val="96"/>
              </w:rPr>
              <w:t>Executive Compensation</w:t>
            </w:r>
          </w:p>
        </w:tc>
        <w:tc>
          <w:tcPr>
            <w:tcW w:w="2000" w:type="dxa"/>
            <w:vAlign w:val="bottom"/>
            <w:gridSpan w:val="5"/>
          </w:tcPr>
          <w:p>
            <w:pPr>
              <w:spacing w:after="0"/>
              <w:rPr>
                <w:sz w:val="24"/>
                <w:szCs w:val="24"/>
                <w:color w:val="auto"/>
              </w:rPr>
            </w:pPr>
          </w:p>
        </w:tc>
        <w:tc>
          <w:tcPr>
            <w:tcW w:w="4340" w:type="dxa"/>
            <w:vAlign w:val="bottom"/>
            <w:gridSpan w:val="5"/>
          </w:tcPr>
          <w:p>
            <w:pPr>
              <w:spacing w:after="0"/>
              <w:rPr>
                <w:sz w:val="24"/>
                <w:szCs w:val="24"/>
                <w:color w:val="auto"/>
              </w:rPr>
            </w:pPr>
          </w:p>
        </w:tc>
        <w:tc>
          <w:tcPr>
            <w:tcW w:w="2460" w:type="dxa"/>
            <w:vAlign w:val="bottom"/>
            <w:gridSpan w:val="5"/>
          </w:tcPr>
          <w:p>
            <w:pPr>
              <w:jc w:val="right"/>
              <w:ind w:right="660"/>
              <w:spacing w:after="0"/>
              <w:rPr>
                <w:sz w:val="20"/>
                <w:szCs w:val="20"/>
                <w:color w:val="auto"/>
              </w:rPr>
            </w:pPr>
            <w:r>
              <w:rPr>
                <w:rFonts w:ascii="Arial" w:cs="Arial" w:eastAsia="Arial" w:hAnsi="Arial"/>
                <w:sz w:val="17"/>
                <w:szCs w:val="17"/>
                <w:color w:val="0000EE"/>
              </w:rPr>
              <w:t>28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gridSpan w:val="5"/>
          </w:tcPr>
          <w:p>
            <w:pPr>
              <w:spacing w:after="0"/>
              <w:rPr>
                <w:sz w:val="20"/>
                <w:szCs w:val="20"/>
                <w:color w:val="auto"/>
              </w:rPr>
            </w:pPr>
            <w:r>
              <w:rPr>
                <w:rFonts w:ascii="Arial" w:cs="Arial" w:eastAsia="Arial" w:hAnsi="Arial"/>
                <w:sz w:val="17"/>
                <w:szCs w:val="17"/>
                <w:color w:val="0000EE"/>
                <w:w w:val="93"/>
              </w:rPr>
              <w:t>CEO Pay Ratio</w:t>
            </w:r>
          </w:p>
        </w:tc>
        <w:tc>
          <w:tcPr>
            <w:tcW w:w="720" w:type="dxa"/>
            <w:vAlign w:val="bottom"/>
            <w:gridSpan w:val="5"/>
          </w:tcPr>
          <w:p>
            <w:pPr>
              <w:spacing w:after="0"/>
              <w:rPr>
                <w:sz w:val="24"/>
                <w:szCs w:val="24"/>
                <w:color w:val="auto"/>
              </w:rPr>
            </w:pPr>
          </w:p>
        </w:tc>
        <w:tc>
          <w:tcPr>
            <w:tcW w:w="6340" w:type="dxa"/>
            <w:vAlign w:val="bottom"/>
            <w:gridSpan w:val="10"/>
          </w:tcPr>
          <w:p>
            <w:pPr>
              <w:spacing w:after="0"/>
              <w:rPr>
                <w:sz w:val="24"/>
                <w:szCs w:val="24"/>
                <w:color w:val="auto"/>
              </w:rPr>
            </w:pPr>
          </w:p>
        </w:tc>
        <w:tc>
          <w:tcPr>
            <w:tcW w:w="2460" w:type="dxa"/>
            <w:vAlign w:val="bottom"/>
            <w:gridSpan w:val="5"/>
          </w:tcPr>
          <w:p>
            <w:pPr>
              <w:jc w:val="right"/>
              <w:ind w:right="660"/>
              <w:spacing w:after="0"/>
              <w:rPr>
                <w:sz w:val="20"/>
                <w:szCs w:val="20"/>
                <w:color w:val="auto"/>
              </w:rPr>
            </w:pPr>
            <w:r>
              <w:rPr>
                <w:rFonts w:ascii="Arial" w:cs="Arial" w:eastAsia="Arial" w:hAnsi="Arial"/>
                <w:sz w:val="17"/>
                <w:szCs w:val="17"/>
                <w:color w:val="0000EE"/>
              </w:rPr>
              <w:t>55</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180" w:type="dxa"/>
            <w:vAlign w:val="bottom"/>
            <w:gridSpan w:val="20"/>
          </w:tcPr>
          <w:p>
            <w:pPr>
              <w:spacing w:after="0"/>
              <w:rPr>
                <w:sz w:val="20"/>
                <w:szCs w:val="20"/>
                <w:color w:val="auto"/>
              </w:rPr>
            </w:pPr>
            <w:r>
              <w:rPr>
                <w:rFonts w:ascii="Arial" w:cs="Arial" w:eastAsia="Arial" w:hAnsi="Arial"/>
                <w:sz w:val="17"/>
                <w:szCs w:val="17"/>
                <w:color w:val="0000EE"/>
              </w:rPr>
              <w:t>Transactions with Related Persons, Promoters and Certain Control Persons</w:t>
            </w:r>
          </w:p>
        </w:tc>
        <w:tc>
          <w:tcPr>
            <w:tcW w:w="2460" w:type="dxa"/>
            <w:vAlign w:val="bottom"/>
            <w:gridSpan w:val="5"/>
          </w:tcPr>
          <w:p>
            <w:pPr>
              <w:jc w:val="right"/>
              <w:ind w:right="660"/>
              <w:spacing w:after="0"/>
              <w:rPr>
                <w:sz w:val="20"/>
                <w:szCs w:val="20"/>
                <w:color w:val="auto"/>
              </w:rPr>
            </w:pPr>
            <w:r>
              <w:rPr>
                <w:rFonts w:ascii="Arial" w:cs="Arial" w:eastAsia="Arial" w:hAnsi="Arial"/>
                <w:sz w:val="17"/>
                <w:szCs w:val="17"/>
                <w:color w:val="0000EE"/>
              </w:rPr>
              <w:t>56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40" w:type="dxa"/>
            <w:vAlign w:val="bottom"/>
            <w:gridSpan w:val="19"/>
          </w:tcPr>
          <w:p>
            <w:pPr>
              <w:spacing w:after="0"/>
              <w:rPr>
                <w:sz w:val="20"/>
                <w:szCs w:val="20"/>
                <w:color w:val="auto"/>
              </w:rPr>
            </w:pPr>
            <w:r>
              <w:rPr>
                <w:rFonts w:ascii="Arial" w:cs="Arial" w:eastAsia="Arial" w:hAnsi="Arial"/>
                <w:sz w:val="17"/>
                <w:szCs w:val="17"/>
                <w:color w:val="0000EE"/>
              </w:rPr>
              <w:t>Insider Trading Policy</w:t>
            </w:r>
          </w:p>
        </w:tc>
        <w:tc>
          <w:tcPr>
            <w:tcW w:w="2640" w:type="dxa"/>
            <w:vAlign w:val="bottom"/>
          </w:tcPr>
          <w:p>
            <w:pPr>
              <w:spacing w:after="0"/>
              <w:rPr>
                <w:sz w:val="24"/>
                <w:szCs w:val="24"/>
                <w:color w:val="auto"/>
              </w:rPr>
            </w:pPr>
          </w:p>
        </w:tc>
        <w:tc>
          <w:tcPr>
            <w:tcW w:w="2460" w:type="dxa"/>
            <w:vAlign w:val="bottom"/>
            <w:gridSpan w:val="5"/>
          </w:tcPr>
          <w:p>
            <w:pPr>
              <w:jc w:val="right"/>
              <w:ind w:right="660"/>
              <w:spacing w:after="0"/>
              <w:rPr>
                <w:sz w:val="20"/>
                <w:szCs w:val="20"/>
                <w:color w:val="auto"/>
              </w:rPr>
            </w:pPr>
            <w:r>
              <w:rPr>
                <w:rFonts w:ascii="Arial" w:cs="Arial" w:eastAsia="Arial" w:hAnsi="Arial"/>
                <w:sz w:val="17"/>
                <w:szCs w:val="17"/>
                <w:color w:val="0000EE"/>
              </w:rPr>
              <w:t>56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20" w:type="dxa"/>
            <w:vAlign w:val="bottom"/>
            <w:gridSpan w:val="13"/>
          </w:tcPr>
          <w:p>
            <w:pPr>
              <w:spacing w:after="0"/>
              <w:rPr>
                <w:sz w:val="20"/>
                <w:szCs w:val="20"/>
                <w:color w:val="auto"/>
              </w:rPr>
            </w:pPr>
            <w:r>
              <w:rPr>
                <w:rFonts w:ascii="Arial" w:cs="Arial" w:eastAsia="Arial" w:hAnsi="Arial"/>
                <w:sz w:val="17"/>
                <w:szCs w:val="17"/>
                <w:color w:val="0000EE"/>
                <w:w w:val="99"/>
              </w:rPr>
              <w:t>Equity Compensation Plan Information</w:t>
            </w:r>
          </w:p>
        </w:tc>
        <w:tc>
          <w:tcPr>
            <w:tcW w:w="5260" w:type="dxa"/>
            <w:vAlign w:val="bottom"/>
            <w:gridSpan w:val="7"/>
          </w:tcPr>
          <w:p>
            <w:pPr>
              <w:spacing w:after="0"/>
              <w:rPr>
                <w:sz w:val="24"/>
                <w:szCs w:val="24"/>
                <w:color w:val="auto"/>
              </w:rPr>
            </w:pPr>
          </w:p>
        </w:tc>
        <w:tc>
          <w:tcPr>
            <w:tcW w:w="2460" w:type="dxa"/>
            <w:vAlign w:val="bottom"/>
            <w:gridSpan w:val="5"/>
          </w:tcPr>
          <w:p>
            <w:pPr>
              <w:jc w:val="right"/>
              <w:ind w:right="660"/>
              <w:spacing w:after="0"/>
              <w:rPr>
                <w:sz w:val="20"/>
                <w:szCs w:val="20"/>
                <w:color w:val="auto"/>
              </w:rPr>
            </w:pPr>
            <w:r>
              <w:rPr>
                <w:rFonts w:ascii="Arial" w:cs="Arial" w:eastAsia="Arial" w:hAnsi="Arial"/>
                <w:sz w:val="17"/>
                <w:szCs w:val="17"/>
                <w:color w:val="0000EE"/>
              </w:rPr>
              <w:t>57</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4"/>
            <w:shd w:val="clear" w:color="auto" w:fill="0000EE"/>
          </w:tcPr>
          <w:p>
            <w:pPr>
              <w:spacing w:after="0" w:line="20" w:lineRule="exact"/>
              <w:rPr>
                <w:sz w:val="1"/>
                <w:szCs w:val="1"/>
                <w:color w:val="auto"/>
              </w:rPr>
            </w:pPr>
          </w:p>
        </w:tc>
        <w:tc>
          <w:tcPr>
            <w:tcW w:w="640" w:type="dxa"/>
            <w:vAlign w:val="bottom"/>
            <w:tcBorders>
              <w:left w:val="single" w:sz="8" w:color="0000EE"/>
            </w:tcBorders>
            <w:gridSpan w:val="4"/>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20" w:type="dxa"/>
            <w:vAlign w:val="bottom"/>
            <w:gridSpan w:val="13"/>
          </w:tcPr>
          <w:p>
            <w:pPr>
              <w:spacing w:after="0"/>
              <w:rPr>
                <w:sz w:val="20"/>
                <w:szCs w:val="20"/>
                <w:color w:val="auto"/>
              </w:rPr>
            </w:pPr>
            <w:r>
              <w:rPr>
                <w:rFonts w:ascii="Arial" w:cs="Arial" w:eastAsia="Arial" w:hAnsi="Arial"/>
                <w:sz w:val="17"/>
                <w:szCs w:val="17"/>
                <w:color w:val="0000EE"/>
              </w:rPr>
              <w:t>Audit Committee Report</w:t>
            </w:r>
          </w:p>
        </w:tc>
        <w:tc>
          <w:tcPr>
            <w:tcW w:w="5260" w:type="dxa"/>
            <w:vAlign w:val="bottom"/>
            <w:gridSpan w:val="7"/>
          </w:tcPr>
          <w:p>
            <w:pPr>
              <w:spacing w:after="0"/>
              <w:rPr>
                <w:sz w:val="24"/>
                <w:szCs w:val="24"/>
                <w:color w:val="auto"/>
              </w:rPr>
            </w:pPr>
          </w:p>
        </w:tc>
        <w:tc>
          <w:tcPr>
            <w:tcW w:w="2460" w:type="dxa"/>
            <w:vAlign w:val="bottom"/>
            <w:gridSpan w:val="5"/>
          </w:tcPr>
          <w:p>
            <w:pPr>
              <w:jc w:val="right"/>
              <w:ind w:right="660"/>
              <w:spacing w:after="0"/>
              <w:rPr>
                <w:sz w:val="20"/>
                <w:szCs w:val="20"/>
                <w:color w:val="auto"/>
              </w:rPr>
            </w:pPr>
            <w:r>
              <w:rPr>
                <w:rFonts w:ascii="Arial" w:cs="Arial" w:eastAsia="Arial" w:hAnsi="Arial"/>
                <w:sz w:val="17"/>
                <w:szCs w:val="17"/>
                <w:color w:val="0000EE"/>
              </w:rPr>
              <w:t>58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4"/>
            <w:shd w:val="clear" w:color="auto" w:fill="0000EE"/>
          </w:tcPr>
          <w:p>
            <w:pPr>
              <w:spacing w:after="0" w:line="20" w:lineRule="exact"/>
              <w:rPr>
                <w:sz w:val="1"/>
                <w:szCs w:val="1"/>
                <w:color w:val="auto"/>
              </w:rPr>
            </w:pPr>
          </w:p>
        </w:tc>
        <w:tc>
          <w:tcPr>
            <w:tcW w:w="640" w:type="dxa"/>
            <w:vAlign w:val="bottom"/>
            <w:tcBorders>
              <w:left w:val="single" w:sz="8" w:color="0000EE"/>
            </w:tcBorders>
            <w:gridSpan w:val="4"/>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180" w:type="dxa"/>
            <w:vAlign w:val="bottom"/>
            <w:gridSpan w:val="20"/>
          </w:tcPr>
          <w:p>
            <w:pPr>
              <w:spacing w:after="0"/>
              <w:rPr>
                <w:sz w:val="20"/>
                <w:szCs w:val="20"/>
                <w:color w:val="auto"/>
              </w:rPr>
            </w:pPr>
            <w:r>
              <w:rPr>
                <w:rFonts w:ascii="Arial" w:cs="Arial" w:eastAsia="Arial" w:hAnsi="Arial"/>
                <w:sz w:val="17"/>
                <w:szCs w:val="17"/>
                <w:color w:val="0000EE"/>
              </w:rPr>
              <w:t>Principal Accountant Fees and Services</w:t>
            </w:r>
          </w:p>
        </w:tc>
        <w:tc>
          <w:tcPr>
            <w:tcW w:w="2460" w:type="dxa"/>
            <w:vAlign w:val="bottom"/>
            <w:gridSpan w:val="5"/>
          </w:tcPr>
          <w:p>
            <w:pPr>
              <w:jc w:val="right"/>
              <w:ind w:right="660"/>
              <w:spacing w:after="0"/>
              <w:rPr>
                <w:sz w:val="20"/>
                <w:szCs w:val="20"/>
                <w:color w:val="auto"/>
              </w:rPr>
            </w:pPr>
            <w:r>
              <w:rPr>
                <w:rFonts w:ascii="Arial" w:cs="Arial" w:eastAsia="Arial" w:hAnsi="Arial"/>
                <w:sz w:val="17"/>
                <w:szCs w:val="17"/>
                <w:color w:val="0000EE"/>
              </w:rPr>
              <w:t>59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4"/>
            <w:shd w:val="clear" w:color="auto" w:fill="0000EE"/>
          </w:tcPr>
          <w:p>
            <w:pPr>
              <w:spacing w:after="0" w:line="20" w:lineRule="exact"/>
              <w:rPr>
                <w:sz w:val="1"/>
                <w:szCs w:val="1"/>
                <w:color w:val="auto"/>
              </w:rPr>
            </w:pPr>
          </w:p>
        </w:tc>
        <w:tc>
          <w:tcPr>
            <w:tcW w:w="980" w:type="dxa"/>
            <w:vAlign w:val="bottom"/>
            <w:tcBorders>
              <w:left w:val="single" w:sz="8" w:color="0000EE"/>
            </w:tcBorders>
            <w:gridSpan w:val="6"/>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0" w:type="dxa"/>
            <w:vAlign w:val="bottom"/>
          </w:tcPr>
          <w:p>
            <w:pPr>
              <w:spacing w:after="0"/>
              <w:rPr>
                <w:sz w:val="24"/>
                <w:szCs w:val="24"/>
                <w:color w:val="auto"/>
              </w:rPr>
            </w:pPr>
          </w:p>
        </w:tc>
        <w:tc>
          <w:tcPr>
            <w:tcW w:w="8480" w:type="dxa"/>
            <w:vAlign w:val="bottom"/>
            <w:gridSpan w:val="21"/>
          </w:tcPr>
          <w:p>
            <w:pPr>
              <w:spacing w:after="0"/>
              <w:rPr>
                <w:sz w:val="20"/>
                <w:szCs w:val="20"/>
                <w:color w:val="auto"/>
              </w:rPr>
            </w:pPr>
            <w:r>
              <w:rPr>
                <w:rFonts w:ascii="Arial" w:cs="Arial" w:eastAsia="Arial" w:hAnsi="Arial"/>
                <w:sz w:val="17"/>
                <w:szCs w:val="17"/>
                <w:b w:val="1"/>
                <w:bCs w:val="1"/>
                <w:i w:val="1"/>
                <w:iCs w:val="1"/>
                <w:color w:val="0000EE"/>
              </w:rPr>
              <w:t>PROPOSAL 2: ADVISORY VOTE ON EXECUTIVE COMPENSATION</w:t>
            </w:r>
          </w:p>
        </w:tc>
        <w:tc>
          <w:tcPr>
            <w:tcW w:w="2460" w:type="dxa"/>
            <w:vAlign w:val="bottom"/>
            <w:gridSpan w:val="5"/>
          </w:tcPr>
          <w:p>
            <w:pPr>
              <w:jc w:val="right"/>
              <w:ind w:right="660"/>
              <w:spacing w:after="0"/>
              <w:rPr>
                <w:sz w:val="20"/>
                <w:szCs w:val="20"/>
                <w:color w:val="auto"/>
              </w:rPr>
            </w:pPr>
            <w:r>
              <w:rPr>
                <w:rFonts w:ascii="Arial" w:cs="Arial" w:eastAsia="Arial" w:hAnsi="Arial"/>
                <w:sz w:val="17"/>
                <w:szCs w:val="17"/>
                <w:color w:val="0000EE"/>
              </w:rPr>
              <w:t>60</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6"/>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0" w:type="dxa"/>
            <w:vAlign w:val="bottom"/>
          </w:tcPr>
          <w:p>
            <w:pPr>
              <w:spacing w:after="0"/>
              <w:rPr>
                <w:sz w:val="24"/>
                <w:szCs w:val="24"/>
                <w:color w:val="auto"/>
              </w:rPr>
            </w:pPr>
          </w:p>
        </w:tc>
        <w:tc>
          <w:tcPr>
            <w:tcW w:w="8480" w:type="dxa"/>
            <w:vAlign w:val="bottom"/>
            <w:gridSpan w:val="21"/>
          </w:tcPr>
          <w:p>
            <w:pPr>
              <w:spacing w:after="0"/>
              <w:rPr>
                <w:sz w:val="20"/>
                <w:szCs w:val="20"/>
                <w:color w:val="auto"/>
              </w:rPr>
            </w:pPr>
            <w:r>
              <w:rPr>
                <w:rFonts w:ascii="Arial" w:cs="Arial" w:eastAsia="Arial" w:hAnsi="Arial"/>
                <w:sz w:val="17"/>
                <w:szCs w:val="17"/>
                <w:b w:val="1"/>
                <w:bCs w:val="1"/>
                <w:i w:val="1"/>
                <w:iCs w:val="1"/>
                <w:color w:val="0000EE"/>
                <w:w w:val="97"/>
              </w:rPr>
              <w:t>PROPOSAL 3: APPROVAL OF THE APPOINTMENT OF INDEPENDENT REGISTERED PUBLIC ACCOUNTING</w:t>
            </w:r>
          </w:p>
        </w:tc>
        <w:tc>
          <w:tcPr>
            <w:tcW w:w="2460" w:type="dxa"/>
            <w:vAlign w:val="bottom"/>
            <w:gridSpan w:val="5"/>
            <w:vMerge w:val="restart"/>
          </w:tcPr>
          <w:p>
            <w:pPr>
              <w:jc w:val="right"/>
              <w:ind w:right="660"/>
              <w:spacing w:after="0"/>
              <w:rPr>
                <w:sz w:val="20"/>
                <w:szCs w:val="20"/>
                <w:color w:val="auto"/>
              </w:rPr>
            </w:pPr>
            <w:r>
              <w:rPr>
                <w:rFonts w:ascii="Arial" w:cs="Arial" w:eastAsia="Arial" w:hAnsi="Arial"/>
                <w:sz w:val="17"/>
                <w:szCs w:val="17"/>
                <w:color w:val="0000EE"/>
              </w:rPr>
              <w:t>61</w:t>
            </w: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82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80" w:type="dxa"/>
            <w:vAlign w:val="bottom"/>
            <w:tcBorders>
              <w:top w:val="single" w:sz="8" w:color="0000EE"/>
            </w:tcBorders>
            <w:gridSpan w:val="17"/>
          </w:tcPr>
          <w:p>
            <w:pPr>
              <w:spacing w:after="0" w:line="167" w:lineRule="exact"/>
              <w:rPr>
                <w:sz w:val="20"/>
                <w:szCs w:val="20"/>
                <w:color w:val="auto"/>
              </w:rPr>
            </w:pPr>
            <w:r>
              <w:rPr>
                <w:rFonts w:ascii="Arial" w:cs="Arial" w:eastAsia="Arial" w:hAnsi="Arial"/>
                <w:sz w:val="17"/>
                <w:szCs w:val="17"/>
                <w:b w:val="1"/>
                <w:bCs w:val="1"/>
                <w:i w:val="1"/>
                <w:iCs w:val="1"/>
                <w:color w:val="0000EE"/>
              </w:rPr>
              <w:t>FIRM FOR 2026</w:t>
            </w:r>
          </w:p>
        </w:tc>
        <w:tc>
          <w:tcPr>
            <w:tcW w:w="24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6"/>
            <w:shd w:val="clear" w:color="auto" w:fill="0000EE"/>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0" w:type="dxa"/>
            <w:vAlign w:val="bottom"/>
          </w:tcPr>
          <w:p>
            <w:pPr>
              <w:spacing w:after="0"/>
              <w:rPr>
                <w:sz w:val="24"/>
                <w:szCs w:val="24"/>
                <w:color w:val="auto"/>
              </w:rPr>
            </w:pPr>
          </w:p>
        </w:tc>
        <w:tc>
          <w:tcPr>
            <w:tcW w:w="1420" w:type="dxa"/>
            <w:vAlign w:val="bottom"/>
            <w:gridSpan w:val="6"/>
          </w:tcPr>
          <w:p>
            <w:pPr>
              <w:spacing w:after="0"/>
              <w:rPr>
                <w:sz w:val="20"/>
                <w:szCs w:val="20"/>
                <w:color w:val="auto"/>
              </w:rPr>
            </w:pPr>
            <w:r>
              <w:rPr>
                <w:rFonts w:ascii="Arial" w:cs="Arial" w:eastAsia="Arial" w:hAnsi="Arial"/>
                <w:sz w:val="17"/>
                <w:szCs w:val="17"/>
                <w:b w:val="1"/>
                <w:bCs w:val="1"/>
                <w:i w:val="1"/>
                <w:iCs w:val="1"/>
                <w:color w:val="0000EE"/>
                <w:w w:val="94"/>
              </w:rPr>
              <w:t>OTHER MATTERS</w:t>
            </w:r>
          </w:p>
        </w:tc>
        <w:tc>
          <w:tcPr>
            <w:tcW w:w="7060" w:type="dxa"/>
            <w:vAlign w:val="bottom"/>
            <w:gridSpan w:val="15"/>
          </w:tcPr>
          <w:p>
            <w:pPr>
              <w:spacing w:after="0"/>
              <w:rPr>
                <w:sz w:val="24"/>
                <w:szCs w:val="24"/>
                <w:color w:val="auto"/>
              </w:rPr>
            </w:pPr>
          </w:p>
        </w:tc>
        <w:tc>
          <w:tcPr>
            <w:tcW w:w="2460" w:type="dxa"/>
            <w:vAlign w:val="bottom"/>
            <w:gridSpan w:val="5"/>
          </w:tcPr>
          <w:p>
            <w:pPr>
              <w:jc w:val="right"/>
              <w:ind w:right="660"/>
              <w:spacing w:after="0"/>
              <w:rPr>
                <w:sz w:val="20"/>
                <w:szCs w:val="20"/>
                <w:color w:val="auto"/>
              </w:rPr>
            </w:pPr>
            <w:r>
              <w:rPr>
                <w:rFonts w:ascii="Arial" w:cs="Arial" w:eastAsia="Arial" w:hAnsi="Arial"/>
                <w:sz w:val="17"/>
                <w:szCs w:val="17"/>
                <w:color w:val="0000EE"/>
              </w:rPr>
              <w:t>62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20" w:type="dxa"/>
            <w:vAlign w:val="bottom"/>
            <w:gridSpan w:val="6"/>
            <w:shd w:val="clear" w:color="auto" w:fill="0000EE"/>
          </w:tcPr>
          <w:p>
            <w:pPr>
              <w:spacing w:after="0" w:line="20" w:lineRule="exact"/>
              <w:rPr>
                <w:sz w:val="1"/>
                <w:szCs w:val="1"/>
                <w:color w:val="auto"/>
              </w:rPr>
            </w:pPr>
          </w:p>
        </w:tc>
        <w:tc>
          <w:tcPr>
            <w:tcW w:w="2720" w:type="dxa"/>
            <w:vAlign w:val="bottom"/>
            <w:gridSpan w:val="10"/>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780" w:type="dxa"/>
            <w:vAlign w:val="bottom"/>
            <w:gridSpan w:val="22"/>
          </w:tcPr>
          <w:p>
            <w:pPr>
              <w:spacing w:after="0"/>
              <w:rPr>
                <w:sz w:val="20"/>
                <w:szCs w:val="20"/>
                <w:color w:val="auto"/>
              </w:rPr>
            </w:pPr>
            <w:r>
              <w:rPr>
                <w:rFonts w:ascii="Arial" w:cs="Arial" w:eastAsia="Arial" w:hAnsi="Arial"/>
                <w:sz w:val="17"/>
                <w:szCs w:val="17"/>
                <w:color w:val="0000EE"/>
              </w:rPr>
              <w:t>ANNEX A: RECONCILIATION OF NON-GAAP MEASURES</w:t>
            </w:r>
          </w:p>
        </w:tc>
        <w:tc>
          <w:tcPr>
            <w:tcW w:w="2460" w:type="dxa"/>
            <w:vAlign w:val="bottom"/>
            <w:gridSpan w:val="5"/>
          </w:tcPr>
          <w:p>
            <w:pPr>
              <w:ind w:left="1540"/>
              <w:spacing w:after="0"/>
              <w:rPr>
                <w:sz w:val="20"/>
                <w:szCs w:val="20"/>
                <w:color w:val="auto"/>
              </w:rPr>
            </w:pPr>
            <w:r>
              <w:rPr>
                <w:rFonts w:ascii="Arial" w:cs="Arial" w:eastAsia="Arial" w:hAnsi="Arial"/>
                <w:sz w:val="17"/>
                <w:szCs w:val="17"/>
                <w:color w:val="0000EE"/>
              </w:rPr>
              <w:t>A-1</w:t>
            </w:r>
          </w:p>
        </w:tc>
        <w:tc>
          <w:tcPr>
            <w:tcW w:w="0" w:type="dxa"/>
            <w:vAlign w:val="bottom"/>
          </w:tcPr>
          <w:p>
            <w:pPr>
              <w:spacing w:after="0"/>
              <w:rPr>
                <w:sz w:val="1"/>
                <w:szCs w:val="1"/>
                <w:color w:val="auto"/>
              </w:rPr>
            </w:pPr>
          </w:p>
        </w:tc>
      </w:tr>
      <w:tr>
        <w:trPr>
          <w:trHeight w:val="20"/>
        </w:trPr>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714311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714311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87" w:lineRule="exact"/>
        <w:rPr>
          <w:sz w:val="20"/>
          <w:szCs w:val="20"/>
          <w:color w:val="auto"/>
        </w:rPr>
      </w:pPr>
    </w:p>
    <w:p>
      <w:pPr>
        <w:ind w:right="560" w:firstLine="299"/>
        <w:spacing w:after="0" w:line="243" w:lineRule="auto"/>
        <w:rPr>
          <w:sz w:val="20"/>
          <w:szCs w:val="20"/>
          <w:color w:val="auto"/>
        </w:rPr>
      </w:pPr>
      <w:r>
        <w:rPr>
          <w:rFonts w:ascii="Arial" w:cs="Arial" w:eastAsia="Arial" w:hAnsi="Arial"/>
          <w:sz w:val="17"/>
          <w:szCs w:val="17"/>
          <w:color w:val="auto"/>
        </w:rPr>
        <w:t>White Mountains Insurance Group, Ltd. (the “Company” or the “Registrant”) is an exempted Bermuda limited liability company whose principal businesses are conducted through its subsidiaries and affiliates. Within this report, the term “White Mountains” is used to refer to one or more entities within the consolidated organization, as the context requires.</w:t>
      </w:r>
    </w:p>
    <w:p>
      <w:pPr>
        <w:spacing w:after="0" w:line="53" w:lineRule="exact"/>
        <w:rPr>
          <w:sz w:val="20"/>
          <w:szCs w:val="20"/>
          <w:color w:val="auto"/>
        </w:rPr>
      </w:pPr>
    </w:p>
    <w:p>
      <w:pPr>
        <w:ind w:right="720" w:firstLine="299"/>
        <w:spacing w:after="0" w:line="243" w:lineRule="auto"/>
        <w:rPr>
          <w:sz w:val="20"/>
          <w:szCs w:val="20"/>
          <w:color w:val="auto"/>
        </w:rPr>
      </w:pPr>
      <w:r>
        <w:rPr>
          <w:rFonts w:ascii="Arial" w:cs="Arial" w:eastAsia="Arial" w:hAnsi="Arial"/>
          <w:sz w:val="17"/>
          <w:szCs w:val="17"/>
          <w:color w:val="auto"/>
        </w:rPr>
        <w:t>White Mountains is engaged in the business of making opportunistic and value-oriented acquisitions of businesses and assets in the insurance, financial services and related sectors, operating these businesses and assets through its subsidiaries and, if and when attractive exit valuations become available, disposing of these businesses and assets.</w:t>
      </w:r>
    </w:p>
    <w:p>
      <w:pPr>
        <w:spacing w:after="0" w:line="53" w:lineRule="exact"/>
        <w:rPr>
          <w:sz w:val="20"/>
          <w:szCs w:val="20"/>
          <w:color w:val="auto"/>
        </w:rPr>
      </w:pPr>
    </w:p>
    <w:p>
      <w:pPr>
        <w:ind w:right="580" w:firstLine="299"/>
        <w:spacing w:after="0" w:line="231" w:lineRule="auto"/>
        <w:rPr>
          <w:sz w:val="20"/>
          <w:szCs w:val="20"/>
          <w:color w:val="auto"/>
        </w:rPr>
      </w:pPr>
      <w:r>
        <w:rPr>
          <w:rFonts w:ascii="Arial" w:cs="Arial" w:eastAsia="Arial" w:hAnsi="Arial"/>
          <w:sz w:val="17"/>
          <w:szCs w:val="17"/>
          <w:color w:val="auto"/>
        </w:rPr>
        <w:t>As of December 31, 2025, White Mountains conducted its business primarily in five areas: property and casualty insurance and reinsurance, municipal bond guarantee reinsurance, capital solutions for asset and wealth management firms, specialty insurance distribution and other operations. White Mountains’s property and casualty insurance and reinsurance business is conducted through its subsidiary Ark Insurance Holdings Limited and its subsidiaries (collectively, “Ark”) and Outrigger Re Ltd. Segregated Account 2023-1 (“WM Outrigger Re”) (collectively with Ark, “Ark/WM Outrigger”). White Mountains’s municipal bond guarantee reinsurance business is conducted through its subsidiary HG Global Ltd. and its reinsurance subsidiary HG Re Ltd. (“HG Re”) (collectively with HG Re, “HG Global”). White Mountains provides capital solutions for asset and wealth management firms through its subsidiary Kudu Investment Management, LLC and its subsidiaries (collectively, “Kudu”). White Mountains’s specialty insurance distribution business is conducted through its subsidiary WM Phoenix Parent, L.P. and its subsidiaries d/b/a Distinguished Programs (collectively, “Distinguished”). White Mountains’s other operations consist of the Company and its wholly-owned subsidiary, White Mountains Capital, LLC (“WM Capital”), its other intermediate holding companies, its wholly-owned investment management subsidiary, White Mountains Advisors LLC (“WM Advisors”), investment assets managed by WM Advisors, its interests in Bamboo Ide8 Insurance Services LLC (“Bamboo MGA”) and its subsidiaries (collectively, “Bamboo”) through a special purpose vehicle (the “Bamboo SPV”), MediaAlpha, Inc. (“MediaAlpha”), DavidShield PassportCard Ltd. and its subsidiaries (collectively, “PassportCard/DavidShield”), BroadStreet Partners, Inc. (“BroadStreet”) through a special purpose vehicle (the “BroadStreet SPV”), Elementum Holdings LP (“Elementum”), White Mountains Partners LLC (“WTM Partners”), Enterprise Electric, LLC d/b/a Enterprise Solutions (“Enterprise Solutions”), two special purpose collateralized reinsurance vehicles that provide reinsurance capacity to Bamboo (the “Bamboo CRVs”), certain other consolidated and unconsolidated entities (“Other Operating Businesses”) and certain other assets (collectively, “Other Operations”). As of December 31, 2025, White Mountains’s reportable segments were Ark/WM Outrigger, HG Global, Kudu and Distinguished, with its remaining operating businesses, holding companies and other assets included in Other Operations.</w:t>
      </w:r>
    </w:p>
    <w:p>
      <w:pPr>
        <w:spacing w:after="0" w:line="59" w:lineRule="exact"/>
        <w:rPr>
          <w:sz w:val="20"/>
          <w:szCs w:val="20"/>
          <w:color w:val="auto"/>
        </w:rPr>
      </w:pPr>
    </w:p>
    <w:p>
      <w:pPr>
        <w:ind w:right="580" w:firstLine="299"/>
        <w:spacing w:after="0" w:line="256" w:lineRule="auto"/>
        <w:rPr>
          <w:sz w:val="20"/>
          <w:szCs w:val="20"/>
          <w:color w:val="auto"/>
        </w:rPr>
      </w:pPr>
      <w:r>
        <w:rPr>
          <w:rFonts w:ascii="Arial" w:cs="Arial" w:eastAsia="Arial" w:hAnsi="Arial"/>
          <w:sz w:val="17"/>
          <w:szCs w:val="17"/>
          <w:color w:val="auto"/>
        </w:rPr>
        <w:t>The 2026 Annual General Meeting will be confined to a shareholder vote on the proposals set forth in this Proxy Statement and on such other matters properly brought before the meeting.</w:t>
      </w:r>
    </w:p>
    <w:p>
      <w:pPr>
        <w:spacing w:after="0" w:line="4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For a reconciliation of non-GAAP measures used in this Proxy Statement to their most comparable GAAP measures, see Annex A.</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4" w:name="page5"/>
    <w:bookmarkEnd w:id="4"/>
    <w:p>
      <w:pPr>
        <w:spacing w:after="0"/>
        <w:rPr>
          <w:sz w:val="20"/>
          <w:szCs w:val="20"/>
          <w:color w:val="auto"/>
        </w:rPr>
      </w:pPr>
      <w:r>
        <w:rPr>
          <w:rFonts w:ascii="Arial" w:cs="Arial" w:eastAsia="Arial" w:hAnsi="Arial"/>
          <w:sz w:val="23"/>
          <w:szCs w:val="23"/>
          <w:b w:val="1"/>
          <w:bCs w:val="1"/>
          <w:color w:val="0070C0"/>
        </w:rPr>
        <w:t>PROXY SUMMARY</w:t>
      </w:r>
    </w:p>
    <w:p>
      <w:pPr>
        <w:spacing w:after="0" w:line="210" w:lineRule="exact"/>
        <w:rPr>
          <w:sz w:val="20"/>
          <w:szCs w:val="20"/>
          <w:color w:val="auto"/>
        </w:rPr>
      </w:pPr>
    </w:p>
    <w:p>
      <w:pPr>
        <w:ind w:right="340"/>
        <w:spacing w:after="0" w:line="270" w:lineRule="auto"/>
        <w:rPr>
          <w:sz w:val="20"/>
          <w:szCs w:val="20"/>
          <w:color w:val="auto"/>
        </w:rPr>
      </w:pPr>
      <w:r>
        <w:rPr>
          <w:rFonts w:ascii="Arial" w:cs="Arial" w:eastAsia="Arial" w:hAnsi="Arial"/>
          <w:sz w:val="18"/>
          <w:szCs w:val="18"/>
          <w:color w:val="auto"/>
        </w:rPr>
        <w:t>This summary highlights information contained elsewhere in this Proxy Statement. This summary does not contain all of the information that you should consider. You should read the entire Proxy Statement carefully before voting.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Information and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14311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80" w:type="dxa"/>
            <w:vAlign w:val="bottom"/>
            <w:tcBorders>
              <w:top w:val="single" w:sz="8" w:color="0070C0"/>
            </w:tcBorders>
          </w:tcPr>
          <w:p>
            <w:pPr>
              <w:spacing w:after="0" w:line="195" w:lineRule="exact"/>
              <w:rPr>
                <w:sz w:val="20"/>
                <w:szCs w:val="20"/>
                <w:color w:val="auto"/>
              </w:rPr>
            </w:pPr>
            <w:r>
              <w:rPr>
                <w:rFonts w:ascii="Arial" w:cs="Arial" w:eastAsia="Arial" w:hAnsi="Arial"/>
                <w:sz w:val="18"/>
                <w:szCs w:val="18"/>
                <w:color w:val="auto"/>
              </w:rPr>
              <w:t>Date and Time:</w:t>
            </w:r>
          </w:p>
        </w:tc>
        <w:tc>
          <w:tcPr>
            <w:tcW w:w="9560" w:type="dxa"/>
            <w:vAlign w:val="bottom"/>
            <w:tcBorders>
              <w:top w:val="single" w:sz="8" w:color="0070C0"/>
            </w:tcBorders>
          </w:tcPr>
          <w:p>
            <w:pPr>
              <w:ind w:left="460"/>
              <w:spacing w:after="0" w:line="195" w:lineRule="exact"/>
              <w:rPr>
                <w:sz w:val="20"/>
                <w:szCs w:val="20"/>
                <w:color w:val="auto"/>
              </w:rPr>
            </w:pPr>
            <w:r>
              <w:rPr>
                <w:rFonts w:ascii="Arial" w:cs="Arial" w:eastAsia="Arial" w:hAnsi="Arial"/>
                <w:sz w:val="18"/>
                <w:szCs w:val="18"/>
                <w:color w:val="auto"/>
              </w:rPr>
              <w:t>May 21, 2026 at 8:00 a.m. Atlantic Time</w:t>
            </w:r>
          </w:p>
        </w:tc>
      </w:tr>
      <w:tr>
        <w:trPr>
          <w:trHeight w:val="224"/>
        </w:trPr>
        <w:tc>
          <w:tcPr>
            <w:tcW w:w="1680" w:type="dxa"/>
            <w:vAlign w:val="bottom"/>
          </w:tcPr>
          <w:p>
            <w:pPr>
              <w:spacing w:after="0"/>
              <w:rPr>
                <w:sz w:val="20"/>
                <w:szCs w:val="20"/>
                <w:color w:val="auto"/>
              </w:rPr>
            </w:pPr>
            <w:r>
              <w:rPr>
                <w:rFonts w:ascii="Arial" w:cs="Arial" w:eastAsia="Arial" w:hAnsi="Arial"/>
                <w:sz w:val="18"/>
                <w:szCs w:val="18"/>
                <w:color w:val="auto"/>
              </w:rPr>
              <w:t>Place:</w:t>
            </w:r>
          </w:p>
        </w:tc>
        <w:tc>
          <w:tcPr>
            <w:tcW w:w="9560" w:type="dxa"/>
            <w:vAlign w:val="bottom"/>
          </w:tcPr>
          <w:p>
            <w:pPr>
              <w:ind w:left="460"/>
              <w:spacing w:after="0"/>
              <w:rPr>
                <w:sz w:val="20"/>
                <w:szCs w:val="20"/>
                <w:color w:val="auto"/>
              </w:rPr>
            </w:pPr>
            <w:r>
              <w:rPr>
                <w:rFonts w:ascii="Arial" w:cs="Arial" w:eastAsia="Arial" w:hAnsi="Arial"/>
                <w:sz w:val="18"/>
                <w:szCs w:val="18"/>
                <w:color w:val="auto"/>
              </w:rPr>
              <w:t>Rosewood Bermuda Hotel, 60 Tucker’s Point Drive, Hamilton Parish, Bermuda</w:t>
            </w:r>
          </w:p>
        </w:tc>
      </w:tr>
      <w:tr>
        <w:trPr>
          <w:trHeight w:val="241"/>
        </w:trPr>
        <w:tc>
          <w:tcPr>
            <w:tcW w:w="1680" w:type="dxa"/>
            <w:vAlign w:val="bottom"/>
          </w:tcPr>
          <w:p>
            <w:pPr>
              <w:spacing w:after="0"/>
              <w:rPr>
                <w:sz w:val="20"/>
                <w:szCs w:val="20"/>
                <w:color w:val="auto"/>
              </w:rPr>
            </w:pPr>
            <w:r>
              <w:rPr>
                <w:rFonts w:ascii="Arial" w:cs="Arial" w:eastAsia="Arial" w:hAnsi="Arial"/>
                <w:sz w:val="18"/>
                <w:szCs w:val="18"/>
                <w:color w:val="auto"/>
              </w:rPr>
              <w:t>Record Date:</w:t>
            </w:r>
          </w:p>
        </w:tc>
        <w:tc>
          <w:tcPr>
            <w:tcW w:w="9560" w:type="dxa"/>
            <w:vAlign w:val="bottom"/>
          </w:tcPr>
          <w:p>
            <w:pPr>
              <w:ind w:left="460"/>
              <w:spacing w:after="0"/>
              <w:rPr>
                <w:sz w:val="20"/>
                <w:szCs w:val="20"/>
                <w:color w:val="auto"/>
              </w:rPr>
            </w:pPr>
            <w:r>
              <w:rPr>
                <w:rFonts w:ascii="Arial" w:cs="Arial" w:eastAsia="Arial" w:hAnsi="Arial"/>
                <w:sz w:val="18"/>
                <w:szCs w:val="18"/>
                <w:color w:val="auto"/>
              </w:rPr>
              <w:t>March 30, 2026</w:t>
            </w:r>
          </w:p>
        </w:tc>
      </w:tr>
    </w:tbl>
    <w:p>
      <w:pPr>
        <w:spacing w:after="0" w:line="182" w:lineRule="exact"/>
        <w:rPr>
          <w:sz w:val="20"/>
          <w:szCs w:val="20"/>
          <w:color w:val="auto"/>
        </w:rPr>
      </w:pPr>
    </w:p>
    <w:p>
      <w:pPr>
        <w:ind w:right="2000"/>
        <w:spacing w:after="0" w:line="391" w:lineRule="auto"/>
        <w:rPr>
          <w:sz w:val="20"/>
          <w:szCs w:val="20"/>
          <w:color w:val="auto"/>
        </w:rPr>
      </w:pPr>
      <w:r>
        <w:rPr>
          <w:rFonts w:ascii="Arial" w:cs="Arial" w:eastAsia="Arial" w:hAnsi="Arial"/>
          <w:sz w:val="18"/>
          <w:szCs w:val="18"/>
          <w:color w:val="auto"/>
        </w:rPr>
        <w:t xml:space="preserve">This Proxy Statement and the accompanying proxy card are being sent to shareholders on or about April 16, 2026. </w:t>
      </w:r>
      <w:r>
        <w:rPr>
          <w:rFonts w:ascii="Arial" w:cs="Arial" w:eastAsia="Arial" w:hAnsi="Arial"/>
          <w:sz w:val="18"/>
          <w:szCs w:val="18"/>
          <w:b w:val="1"/>
          <w:bCs w:val="1"/>
          <w:color w:val="auto"/>
        </w:rPr>
        <w:t>Voting Matters and Board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143115" cy="1498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3115" cy="1498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8"/>
        </w:trPr>
        <w:tc>
          <w:tcPr>
            <w:tcW w:w="1720" w:type="dxa"/>
            <w:vAlign w:val="bottom"/>
            <w:tcBorders>
              <w:top w:val="single" w:sz="8" w:color="0070C0"/>
              <w:bottom w:val="single" w:sz="8" w:color="0070C0"/>
            </w:tcBorders>
          </w:tcPr>
          <w:p>
            <w:pPr>
              <w:spacing w:after="0" w:line="198" w:lineRule="exact"/>
              <w:rPr>
                <w:sz w:val="20"/>
                <w:szCs w:val="20"/>
                <w:color w:val="auto"/>
              </w:rPr>
            </w:pPr>
            <w:r>
              <w:rPr>
                <w:rFonts w:ascii="Arial" w:cs="Arial" w:eastAsia="Arial" w:hAnsi="Arial"/>
                <w:sz w:val="18"/>
                <w:szCs w:val="18"/>
                <w:b w:val="1"/>
                <w:bCs w:val="1"/>
                <w:i w:val="1"/>
                <w:iCs w:val="1"/>
                <w:color w:val="auto"/>
              </w:rPr>
              <w:t>Matter</w:t>
            </w:r>
          </w:p>
        </w:tc>
        <w:tc>
          <w:tcPr>
            <w:tcW w:w="6180" w:type="dxa"/>
            <w:vAlign w:val="bottom"/>
            <w:tcBorders>
              <w:top w:val="single" w:sz="8" w:color="0070C0"/>
              <w:bottom w:val="single" w:sz="8" w:color="0070C0"/>
              <w:right w:val="single" w:sz="8" w:color="0070C0"/>
            </w:tcBorders>
          </w:tcPr>
          <w:p>
            <w:pPr>
              <w:spacing w:after="0"/>
              <w:rPr>
                <w:sz w:val="17"/>
                <w:szCs w:val="17"/>
                <w:color w:val="auto"/>
              </w:rPr>
            </w:pPr>
          </w:p>
        </w:tc>
        <w:tc>
          <w:tcPr>
            <w:tcW w:w="3340" w:type="dxa"/>
            <w:vAlign w:val="bottom"/>
            <w:tcBorders>
              <w:top w:val="single" w:sz="8" w:color="0070C0"/>
              <w:bottom w:val="single" w:sz="8" w:color="0070C0"/>
            </w:tcBorders>
          </w:tcPr>
          <w:p>
            <w:pPr>
              <w:jc w:val="center"/>
              <w:ind w:right="9"/>
              <w:spacing w:after="0" w:line="198" w:lineRule="exact"/>
              <w:rPr>
                <w:sz w:val="20"/>
                <w:szCs w:val="20"/>
                <w:color w:val="auto"/>
              </w:rPr>
            </w:pPr>
            <w:r>
              <w:rPr>
                <w:rFonts w:ascii="Arial" w:cs="Arial" w:eastAsia="Arial" w:hAnsi="Arial"/>
                <w:sz w:val="18"/>
                <w:szCs w:val="18"/>
                <w:b w:val="1"/>
                <w:bCs w:val="1"/>
                <w:i w:val="1"/>
                <w:iCs w:val="1"/>
                <w:color w:val="auto"/>
              </w:rPr>
              <w:t>Our Board’s Recommendation</w:t>
            </w:r>
          </w:p>
        </w:tc>
      </w:tr>
      <w:tr>
        <w:trPr>
          <w:trHeight w:val="216"/>
        </w:trPr>
        <w:tc>
          <w:tcPr>
            <w:tcW w:w="1720" w:type="dxa"/>
            <w:vAlign w:val="bottom"/>
            <w:tcBorders>
              <w:bottom w:val="single" w:sz="8" w:color="0070C0"/>
              <w:right w:val="single" w:sz="8" w:color="0070C0"/>
            </w:tcBorders>
          </w:tcPr>
          <w:p>
            <w:pPr>
              <w:spacing w:after="0"/>
              <w:rPr>
                <w:sz w:val="20"/>
                <w:szCs w:val="20"/>
                <w:color w:val="auto"/>
              </w:rPr>
            </w:pPr>
            <w:r>
              <w:rPr>
                <w:rFonts w:ascii="Arial" w:cs="Arial" w:eastAsia="Arial" w:hAnsi="Arial"/>
                <w:sz w:val="18"/>
                <w:szCs w:val="18"/>
                <w:b w:val="1"/>
                <w:bCs w:val="1"/>
                <w:i w:val="1"/>
                <w:iCs w:val="1"/>
                <w:color w:val="auto"/>
              </w:rPr>
              <w:t>Proposal 1</w:t>
            </w:r>
          </w:p>
        </w:tc>
        <w:tc>
          <w:tcPr>
            <w:tcW w:w="6180" w:type="dxa"/>
            <w:vAlign w:val="bottom"/>
            <w:tcBorders>
              <w:bottom w:val="single" w:sz="8" w:color="0070C0"/>
              <w:right w:val="single" w:sz="8" w:color="0070C0"/>
            </w:tcBorders>
          </w:tcPr>
          <w:p>
            <w:pPr>
              <w:ind w:left="40"/>
              <w:spacing w:after="0"/>
              <w:rPr>
                <w:sz w:val="20"/>
                <w:szCs w:val="20"/>
                <w:color w:val="auto"/>
              </w:rPr>
            </w:pPr>
            <w:r>
              <w:rPr>
                <w:rFonts w:ascii="Arial" w:cs="Arial" w:eastAsia="Arial" w:hAnsi="Arial"/>
                <w:sz w:val="18"/>
                <w:szCs w:val="18"/>
                <w:color w:val="auto"/>
              </w:rPr>
              <w:t>Election of four directors to Class II with terms ending in 2029</w:t>
            </w:r>
          </w:p>
        </w:tc>
        <w:tc>
          <w:tcPr>
            <w:tcW w:w="3340" w:type="dxa"/>
            <w:vAlign w:val="bottom"/>
            <w:tcBorders>
              <w:bottom w:val="single" w:sz="8" w:color="0070C0"/>
            </w:tcBorders>
          </w:tcPr>
          <w:p>
            <w:pPr>
              <w:jc w:val="center"/>
              <w:ind w:right="9"/>
              <w:spacing w:after="0"/>
              <w:rPr>
                <w:sz w:val="20"/>
                <w:szCs w:val="20"/>
                <w:color w:val="auto"/>
              </w:rPr>
            </w:pPr>
            <w:r>
              <w:rPr>
                <w:rFonts w:ascii="Arial" w:cs="Arial" w:eastAsia="Arial" w:hAnsi="Arial"/>
                <w:sz w:val="18"/>
                <w:szCs w:val="18"/>
                <w:color w:val="auto"/>
              </w:rPr>
              <w:t>For</w:t>
            </w:r>
          </w:p>
        </w:tc>
      </w:tr>
      <w:tr>
        <w:trPr>
          <w:trHeight w:val="216"/>
        </w:trPr>
        <w:tc>
          <w:tcPr>
            <w:tcW w:w="1720" w:type="dxa"/>
            <w:vAlign w:val="bottom"/>
            <w:tcBorders>
              <w:bottom w:val="single" w:sz="8" w:color="0070C0"/>
              <w:right w:val="single" w:sz="8" w:color="0070C0"/>
            </w:tcBorders>
          </w:tcPr>
          <w:p>
            <w:pPr>
              <w:spacing w:after="0"/>
              <w:rPr>
                <w:sz w:val="20"/>
                <w:szCs w:val="20"/>
                <w:color w:val="auto"/>
              </w:rPr>
            </w:pPr>
            <w:r>
              <w:rPr>
                <w:rFonts w:ascii="Arial" w:cs="Arial" w:eastAsia="Arial" w:hAnsi="Arial"/>
                <w:sz w:val="18"/>
                <w:szCs w:val="18"/>
                <w:b w:val="1"/>
                <w:bCs w:val="1"/>
                <w:i w:val="1"/>
                <w:iCs w:val="1"/>
                <w:color w:val="auto"/>
              </w:rPr>
              <w:t>Proposal 2</w:t>
            </w:r>
          </w:p>
        </w:tc>
        <w:tc>
          <w:tcPr>
            <w:tcW w:w="6180" w:type="dxa"/>
            <w:vAlign w:val="bottom"/>
            <w:tcBorders>
              <w:bottom w:val="single" w:sz="8" w:color="0070C0"/>
              <w:right w:val="single" w:sz="8" w:color="0070C0"/>
            </w:tcBorders>
          </w:tcPr>
          <w:p>
            <w:pPr>
              <w:ind w:left="40"/>
              <w:spacing w:after="0"/>
              <w:rPr>
                <w:sz w:val="20"/>
                <w:szCs w:val="20"/>
                <w:color w:val="auto"/>
              </w:rPr>
            </w:pPr>
            <w:r>
              <w:rPr>
                <w:rFonts w:ascii="Arial" w:cs="Arial" w:eastAsia="Arial" w:hAnsi="Arial"/>
                <w:sz w:val="18"/>
                <w:szCs w:val="18"/>
                <w:color w:val="auto"/>
              </w:rPr>
              <w:t>Approval of the advisory resolution on executive compensation</w:t>
            </w:r>
          </w:p>
        </w:tc>
        <w:tc>
          <w:tcPr>
            <w:tcW w:w="3340" w:type="dxa"/>
            <w:vAlign w:val="bottom"/>
            <w:tcBorders>
              <w:bottom w:val="single" w:sz="8" w:color="0070C0"/>
            </w:tcBorders>
          </w:tcPr>
          <w:p>
            <w:pPr>
              <w:jc w:val="center"/>
              <w:ind w:right="9"/>
              <w:spacing w:after="0"/>
              <w:rPr>
                <w:sz w:val="20"/>
                <w:szCs w:val="20"/>
                <w:color w:val="auto"/>
              </w:rPr>
            </w:pPr>
            <w:r>
              <w:rPr>
                <w:rFonts w:ascii="Arial" w:cs="Arial" w:eastAsia="Arial" w:hAnsi="Arial"/>
                <w:sz w:val="18"/>
                <w:szCs w:val="18"/>
                <w:color w:val="auto"/>
              </w:rPr>
              <w:t>For</w:t>
            </w:r>
          </w:p>
        </w:tc>
      </w:tr>
      <w:tr>
        <w:trPr>
          <w:trHeight w:val="170"/>
        </w:trPr>
        <w:tc>
          <w:tcPr>
            <w:tcW w:w="1720" w:type="dxa"/>
            <w:vAlign w:val="bottom"/>
            <w:tcBorders>
              <w:right w:val="single" w:sz="8" w:color="0070C0"/>
            </w:tcBorders>
          </w:tcPr>
          <w:p>
            <w:pPr>
              <w:spacing w:after="0" w:line="170" w:lineRule="exact"/>
              <w:rPr>
                <w:sz w:val="20"/>
                <w:szCs w:val="20"/>
                <w:color w:val="auto"/>
              </w:rPr>
            </w:pPr>
            <w:r>
              <w:rPr>
                <w:rFonts w:ascii="Arial" w:cs="Arial" w:eastAsia="Arial" w:hAnsi="Arial"/>
                <w:sz w:val="18"/>
                <w:szCs w:val="18"/>
                <w:b w:val="1"/>
                <w:bCs w:val="1"/>
                <w:i w:val="1"/>
                <w:iCs w:val="1"/>
                <w:color w:val="auto"/>
              </w:rPr>
              <w:t>Proposal 3</w:t>
            </w:r>
          </w:p>
        </w:tc>
        <w:tc>
          <w:tcPr>
            <w:tcW w:w="6180" w:type="dxa"/>
            <w:vAlign w:val="bottom"/>
            <w:tcBorders>
              <w:right w:val="single" w:sz="8" w:color="0070C0"/>
            </w:tcBorders>
          </w:tcPr>
          <w:p>
            <w:pPr>
              <w:ind w:left="40"/>
              <w:spacing w:after="0" w:line="170" w:lineRule="exact"/>
              <w:rPr>
                <w:sz w:val="20"/>
                <w:szCs w:val="20"/>
                <w:color w:val="auto"/>
              </w:rPr>
            </w:pPr>
            <w:r>
              <w:rPr>
                <w:rFonts w:ascii="Arial" w:cs="Arial" w:eastAsia="Arial" w:hAnsi="Arial"/>
                <w:sz w:val="18"/>
                <w:szCs w:val="18"/>
                <w:color w:val="auto"/>
              </w:rPr>
              <w:t>Approval of the appointment of PwC as the Company’s Independent</w:t>
            </w:r>
          </w:p>
        </w:tc>
        <w:tc>
          <w:tcPr>
            <w:tcW w:w="3340" w:type="dxa"/>
            <w:vAlign w:val="bottom"/>
          </w:tcPr>
          <w:p>
            <w:pPr>
              <w:jc w:val="center"/>
              <w:ind w:right="9"/>
              <w:spacing w:after="0" w:line="170" w:lineRule="exact"/>
              <w:rPr>
                <w:sz w:val="20"/>
                <w:szCs w:val="20"/>
                <w:color w:val="auto"/>
              </w:rPr>
            </w:pPr>
            <w:r>
              <w:rPr>
                <w:rFonts w:ascii="Arial" w:cs="Arial" w:eastAsia="Arial" w:hAnsi="Arial"/>
                <w:sz w:val="18"/>
                <w:szCs w:val="18"/>
                <w:color w:val="auto"/>
              </w:rPr>
              <w:t>For</w:t>
            </w:r>
          </w:p>
        </w:tc>
      </w:tr>
      <w:tr>
        <w:trPr>
          <w:trHeight w:val="243"/>
        </w:trPr>
        <w:tc>
          <w:tcPr>
            <w:tcW w:w="1720" w:type="dxa"/>
            <w:vAlign w:val="bottom"/>
            <w:tcBorders>
              <w:bottom w:val="single" w:sz="8" w:color="0070C0"/>
              <w:right w:val="single" w:sz="8" w:color="0070C0"/>
            </w:tcBorders>
          </w:tcPr>
          <w:p>
            <w:pPr>
              <w:spacing w:after="0"/>
              <w:rPr>
                <w:sz w:val="21"/>
                <w:szCs w:val="21"/>
                <w:color w:val="auto"/>
              </w:rPr>
            </w:pPr>
          </w:p>
        </w:tc>
        <w:tc>
          <w:tcPr>
            <w:tcW w:w="6180" w:type="dxa"/>
            <w:vAlign w:val="bottom"/>
            <w:tcBorders>
              <w:bottom w:val="single" w:sz="8" w:color="0070C0"/>
              <w:right w:val="single" w:sz="8" w:color="0070C0"/>
            </w:tcBorders>
          </w:tcPr>
          <w:p>
            <w:pPr>
              <w:ind w:left="40"/>
              <w:spacing w:after="0"/>
              <w:rPr>
                <w:sz w:val="20"/>
                <w:szCs w:val="20"/>
                <w:color w:val="auto"/>
              </w:rPr>
            </w:pPr>
            <w:r>
              <w:rPr>
                <w:rFonts w:ascii="Arial" w:cs="Arial" w:eastAsia="Arial" w:hAnsi="Arial"/>
                <w:sz w:val="18"/>
                <w:szCs w:val="18"/>
                <w:color w:val="auto"/>
              </w:rPr>
              <w:t>Registered Public Accounting Firm for 2026</w:t>
            </w:r>
          </w:p>
        </w:tc>
        <w:tc>
          <w:tcPr>
            <w:tcW w:w="3340" w:type="dxa"/>
            <w:vAlign w:val="bottom"/>
            <w:tcBorders>
              <w:bottom w:val="single" w:sz="8" w:color="0070C0"/>
            </w:tcBorders>
          </w:tcPr>
          <w:p>
            <w:pPr>
              <w:spacing w:after="0"/>
              <w:rPr>
                <w:sz w:val="21"/>
                <w:szCs w:val="21"/>
                <w:color w:val="auto"/>
              </w:rPr>
            </w:pPr>
          </w:p>
        </w:tc>
      </w:tr>
      <w:tr>
        <w:trPr>
          <w:trHeight w:val="194"/>
        </w:trPr>
        <w:tc>
          <w:tcPr>
            <w:tcW w:w="1720" w:type="dxa"/>
            <w:vAlign w:val="bottom"/>
            <w:tcBorders>
              <w:bottom w:val="single" w:sz="8" w:color="0070C0"/>
            </w:tcBorders>
          </w:tcPr>
          <w:p>
            <w:pPr>
              <w:spacing w:after="0"/>
              <w:rPr>
                <w:sz w:val="16"/>
                <w:szCs w:val="16"/>
                <w:color w:val="auto"/>
              </w:rPr>
            </w:pPr>
          </w:p>
        </w:tc>
        <w:tc>
          <w:tcPr>
            <w:tcW w:w="6180" w:type="dxa"/>
            <w:vAlign w:val="bottom"/>
            <w:tcBorders>
              <w:bottom w:val="single" w:sz="8" w:color="0070C0"/>
            </w:tcBorders>
          </w:tcPr>
          <w:p>
            <w:pPr>
              <w:spacing w:after="0"/>
              <w:rPr>
                <w:sz w:val="16"/>
                <w:szCs w:val="16"/>
                <w:color w:val="auto"/>
              </w:rPr>
            </w:pPr>
          </w:p>
        </w:tc>
        <w:tc>
          <w:tcPr>
            <w:tcW w:w="3340" w:type="dxa"/>
            <w:vAlign w:val="bottom"/>
            <w:tcBorders>
              <w:bottom w:val="single" w:sz="8" w:color="0070C0"/>
            </w:tcBorders>
          </w:tcPr>
          <w:p>
            <w:pPr>
              <w:spacing w:after="0"/>
              <w:rPr>
                <w:sz w:val="16"/>
                <w:szCs w:val="16"/>
                <w:color w:val="auto"/>
              </w:rPr>
            </w:pPr>
          </w:p>
        </w:tc>
      </w:tr>
      <w:tr>
        <w:trPr>
          <w:trHeight w:val="216"/>
        </w:trPr>
        <w:tc>
          <w:tcPr>
            <w:tcW w:w="1720" w:type="dxa"/>
            <w:vAlign w:val="bottom"/>
            <w:tcBorders>
              <w:right w:val="single" w:sz="8" w:color="DEEAF6"/>
            </w:tcBorders>
            <w:shd w:val="clear" w:color="auto" w:fill="DEEAF6"/>
          </w:tcPr>
          <w:p>
            <w:pPr>
              <w:spacing w:after="0"/>
              <w:rPr>
                <w:sz w:val="20"/>
                <w:szCs w:val="20"/>
                <w:color w:val="auto"/>
              </w:rPr>
            </w:pPr>
            <w:r>
              <w:rPr>
                <w:rFonts w:ascii="Arial" w:cs="Arial" w:eastAsia="Arial" w:hAnsi="Arial"/>
                <w:sz w:val="18"/>
                <w:szCs w:val="18"/>
                <w:b w:val="1"/>
                <w:bCs w:val="1"/>
                <w:color w:val="auto"/>
              </w:rPr>
              <w:t>How to Vote</w:t>
            </w:r>
          </w:p>
        </w:tc>
        <w:tc>
          <w:tcPr>
            <w:tcW w:w="6180" w:type="dxa"/>
            <w:vAlign w:val="bottom"/>
            <w:tcBorders>
              <w:right w:val="single" w:sz="8" w:color="DEEAF6"/>
            </w:tcBorders>
            <w:shd w:val="clear" w:color="auto" w:fill="DEEAF6"/>
          </w:tcPr>
          <w:p>
            <w:pPr>
              <w:spacing w:after="0"/>
              <w:rPr>
                <w:sz w:val="18"/>
                <w:szCs w:val="18"/>
                <w:color w:val="auto"/>
              </w:rPr>
            </w:pPr>
          </w:p>
        </w:tc>
        <w:tc>
          <w:tcPr>
            <w:tcW w:w="3340" w:type="dxa"/>
            <w:vAlign w:val="bottom"/>
            <w:shd w:val="clear" w:color="auto" w:fill="DEEAF6"/>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4311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ind w:right="180"/>
        <w:spacing w:after="0"/>
        <w:rPr>
          <w:sz w:val="20"/>
          <w:szCs w:val="20"/>
          <w:color w:val="auto"/>
        </w:rPr>
      </w:pPr>
      <w:r>
        <w:rPr>
          <w:rFonts w:ascii="Arial" w:cs="Arial" w:eastAsia="Arial" w:hAnsi="Arial"/>
          <w:sz w:val="18"/>
          <w:szCs w:val="18"/>
          <w:color w:val="auto"/>
        </w:rPr>
        <w:t>Even if you plan to attend the 2026 Annual Meeting of Members in person, we encourage you to vote in advance of the meeting. Make sure to have your proxy card or voting instruction form in hand and follow the instructions. Participants who hold shares in a brokerage account, an employee benefit plan, or through a nominee will need to follow instructions on their proxy card, which may include options to vote their shares by telephone or over the internet. You can vote in one of three ways: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00" w:type="dxa"/>
            <w:vAlign w:val="bottom"/>
            <w:tcBorders>
              <w:bottom w:val="single" w:sz="8" w:color="0070C0"/>
            </w:tcBorders>
          </w:tcPr>
          <w:p>
            <w:pPr>
              <w:spacing w:after="0"/>
              <w:rPr>
                <w:sz w:val="21"/>
                <w:szCs w:val="21"/>
                <w:color w:val="auto"/>
              </w:rPr>
            </w:pPr>
          </w:p>
        </w:tc>
        <w:tc>
          <w:tcPr>
            <w:tcW w:w="3600" w:type="dxa"/>
            <w:vAlign w:val="bottom"/>
            <w:tcBorders>
              <w:bottom w:val="single" w:sz="8" w:color="0070C0"/>
            </w:tcBorders>
            <w:gridSpan w:val="2"/>
          </w:tcPr>
          <w:p>
            <w:pPr>
              <w:ind w:left="980"/>
              <w:spacing w:after="0"/>
              <w:rPr>
                <w:sz w:val="20"/>
                <w:szCs w:val="20"/>
                <w:color w:val="auto"/>
              </w:rPr>
            </w:pPr>
            <w:r>
              <w:rPr>
                <w:rFonts w:ascii="Arial" w:cs="Arial" w:eastAsia="Arial" w:hAnsi="Arial"/>
                <w:sz w:val="18"/>
                <w:szCs w:val="18"/>
                <w:b w:val="1"/>
                <w:bCs w:val="1"/>
                <w:color w:val="auto"/>
              </w:rPr>
              <w:t>Record Holders</w:t>
            </w:r>
          </w:p>
        </w:tc>
        <w:tc>
          <w:tcPr>
            <w:tcW w:w="6540" w:type="dxa"/>
            <w:vAlign w:val="bottom"/>
            <w:tcBorders>
              <w:bottom w:val="single" w:sz="8" w:color="0070C0"/>
            </w:tcBorders>
          </w:tcPr>
          <w:p>
            <w:pPr>
              <w:ind w:left="2900"/>
              <w:spacing w:after="0"/>
              <w:rPr>
                <w:sz w:val="20"/>
                <w:szCs w:val="20"/>
                <w:color w:val="auto"/>
              </w:rPr>
            </w:pPr>
            <w:r>
              <w:rPr>
                <w:rFonts w:ascii="Arial" w:cs="Arial" w:eastAsia="Arial" w:hAnsi="Arial"/>
                <w:sz w:val="18"/>
                <w:szCs w:val="18"/>
                <w:b w:val="1"/>
                <w:bCs w:val="1"/>
                <w:color w:val="auto"/>
              </w:rPr>
              <w:t>Beneficial Owners</w:t>
            </w:r>
          </w:p>
        </w:tc>
      </w:tr>
      <w:tr>
        <w:trPr>
          <w:trHeight w:val="170"/>
        </w:trPr>
        <w:tc>
          <w:tcPr>
            <w:tcW w:w="4700" w:type="dxa"/>
            <w:vAlign w:val="bottom"/>
            <w:gridSpan w:val="3"/>
          </w:tcPr>
          <w:p>
            <w:pPr>
              <w:spacing w:after="0" w:line="170" w:lineRule="exact"/>
              <w:rPr>
                <w:sz w:val="20"/>
                <w:szCs w:val="20"/>
                <w:color w:val="auto"/>
              </w:rPr>
            </w:pPr>
            <w:r>
              <w:rPr>
                <w:rFonts w:ascii="Arial" w:cs="Arial" w:eastAsia="Arial" w:hAnsi="Arial"/>
                <w:sz w:val="18"/>
                <w:szCs w:val="18"/>
                <w:b w:val="1"/>
                <w:bCs w:val="1"/>
                <w:color w:val="auto"/>
              </w:rPr>
              <w:t>Vote via the internet</w:t>
            </w:r>
          </w:p>
        </w:tc>
        <w:tc>
          <w:tcPr>
            <w:tcW w:w="6540" w:type="dxa"/>
            <w:vAlign w:val="bottom"/>
          </w:tcPr>
          <w:p>
            <w:pPr>
              <w:ind w:left="1040"/>
              <w:spacing w:after="0" w:line="170" w:lineRule="exact"/>
              <w:rPr>
                <w:sz w:val="20"/>
                <w:szCs w:val="20"/>
                <w:color w:val="auto"/>
              </w:rPr>
            </w:pPr>
            <w:r>
              <w:rPr>
                <w:rFonts w:ascii="Arial" w:cs="Arial" w:eastAsia="Arial" w:hAnsi="Arial"/>
                <w:sz w:val="18"/>
                <w:szCs w:val="18"/>
                <w:color w:val="auto"/>
              </w:rPr>
              <w:t>Follow the instructions set forth on the voting instruction form</w:t>
            </w:r>
          </w:p>
        </w:tc>
      </w:tr>
      <w:tr>
        <w:trPr>
          <w:trHeight w:val="220"/>
        </w:trPr>
        <w:tc>
          <w:tcPr>
            <w:tcW w:w="47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Go to</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0000FF"/>
              </w:rPr>
              <w:t>www.envisionreports.com/WTM</w:t>
            </w:r>
          </w:p>
        </w:tc>
        <w:tc>
          <w:tcPr>
            <w:tcW w:w="6540" w:type="dxa"/>
            <w:vAlign w:val="bottom"/>
          </w:tcPr>
          <w:p>
            <w:pPr>
              <w:ind w:left="1040"/>
              <w:spacing w:after="0"/>
              <w:rPr>
                <w:sz w:val="20"/>
                <w:szCs w:val="20"/>
                <w:color w:val="auto"/>
              </w:rPr>
            </w:pPr>
            <w:r>
              <w:rPr>
                <w:rFonts w:ascii="Arial" w:cs="Arial" w:eastAsia="Arial" w:hAnsi="Arial"/>
                <w:sz w:val="18"/>
                <w:szCs w:val="18"/>
                <w:color w:val="auto"/>
              </w:rPr>
              <w:t>provided by your broker with these proxy materials.</w:t>
            </w:r>
          </w:p>
        </w:tc>
      </w:tr>
      <w:tr>
        <w:trPr>
          <w:trHeight w:val="20"/>
        </w:trPr>
        <w:tc>
          <w:tcPr>
            <w:tcW w:w="110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263"/>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Vote by telephone</w:t>
            </w:r>
          </w:p>
        </w:tc>
        <w:tc>
          <w:tcPr>
            <w:tcW w:w="65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-581660</wp:posOffset>
            </wp:positionV>
            <wp:extent cx="7620" cy="1280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20" cy="1280160"/>
                    </a:xfrm>
                    <a:prstGeom prst="rect">
                      <a:avLst/>
                    </a:prstGeom>
                    <a:noFill/>
                  </pic:spPr>
                </pic:pic>
              </a:graphicData>
            </a:graphic>
          </wp:anchor>
        </w:drawing>
      </w:r>
    </w:p>
    <w:p>
      <w:pPr>
        <w:ind w:left="600" w:right="6040" w:hanging="302"/>
        <w:spacing w:after="0" w:line="251" w:lineRule="auto"/>
        <w:tabs>
          <w:tab w:leader="none" w:pos="614"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Call toll free 1-800-652-VOTE (8683) within the USA, US territories and Canada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18" w:lineRule="exact"/>
        <w:rPr>
          <w:sz w:val="20"/>
          <w:szCs w:val="20"/>
          <w:color w:val="auto"/>
        </w:rPr>
      </w:pPr>
    </w:p>
    <w:p>
      <w:pPr>
        <w:ind w:left="600" w:right="6260" w:hanging="302"/>
        <w:spacing w:after="0" w:line="263" w:lineRule="auto"/>
        <w:tabs>
          <w:tab w:leader="none" w:pos="614"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Complete, sign, date and return your proxy card in the envelope provided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80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Company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14311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24130</wp:posOffset>
            </wp:positionV>
            <wp:extent cx="714311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8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White Mountains is engaged in the business of making opportunistic and value-oriented acquisitions of businesses and assets primarily in the insurance, financial services and related sectors, operating these businesses and assets through our subsidiaries and, if and when attractive exit valuations become available, selling these businesses and assets for meaningful gains. Our principal focus is to grow our book value per share metrics because we believe, based on the trading history of our stock, that over the long term our share price growth will follow our growth in these metrics. Since our IPO in 1985, including dividends, the Company has delivered annualized growth in book value per share of 13% and market value per share of 12%.</w:t>
      </w:r>
    </w:p>
    <w:p>
      <w:pPr>
        <w:spacing w:after="0" w:line="162" w:lineRule="exact"/>
        <w:rPr>
          <w:sz w:val="20"/>
          <w:szCs w:val="20"/>
          <w:color w:val="auto"/>
        </w:rPr>
      </w:pPr>
    </w:p>
    <w:p>
      <w:pPr>
        <w:ind w:right="580"/>
        <w:spacing w:after="0" w:line="270" w:lineRule="auto"/>
        <w:rPr>
          <w:sz w:val="20"/>
          <w:szCs w:val="20"/>
          <w:color w:val="auto"/>
        </w:rPr>
      </w:pPr>
      <w:r>
        <w:rPr>
          <w:rFonts w:ascii="Arial" w:cs="Arial" w:eastAsia="Arial" w:hAnsi="Arial"/>
          <w:sz w:val="18"/>
          <w:szCs w:val="18"/>
          <w:color w:val="auto"/>
        </w:rPr>
        <w:t>The biggest driver of performance in 2025 was the sale of Bamboo. Our other operating businesses had generally solid to very good performance, and absolute investment results were good. Highlights of our 2025 operational and financial performance include:</w:t>
      </w:r>
    </w:p>
    <w:p>
      <w:pPr>
        <w:spacing w:after="0" w:line="17" w:lineRule="exact"/>
        <w:rPr>
          <w:sz w:val="20"/>
          <w:szCs w:val="20"/>
          <w:color w:val="auto"/>
        </w:rPr>
      </w:pPr>
    </w:p>
    <w:tbl>
      <w:tblPr>
        <w:tblLayout w:type="fixed"/>
        <w:tblInd w:w="300" w:type="dxa"/>
        <w:tblCellMar>
          <w:top w:w="0" w:type="dxa"/>
          <w:left w:w="0" w:type="dxa"/>
          <w:bottom w:w="0" w:type="dxa"/>
          <w:right w:w="0" w:type="dxa"/>
        </w:tblCellMar>
      </w:tblPr>
      <w:tr>
        <w:trPr>
          <w:trHeight w:val="224"/>
        </w:trPr>
        <w:tc>
          <w:tcPr>
            <w:tcW w:w="5140" w:type="dxa"/>
            <w:vAlign w:val="bottom"/>
          </w:tcPr>
          <w:p>
            <w:pPr>
              <w:spacing w:after="0" w:line="207" w:lineRule="exact"/>
              <w:rPr>
                <w:sz w:val="20"/>
                <w:szCs w:val="20"/>
                <w:color w:val="auto"/>
              </w:rPr>
            </w:pPr>
            <w:r>
              <w:rPr>
                <w:rFonts w:ascii="MS PGothic" w:cs="MS PGothic" w:eastAsia="MS PGothic" w:hAnsi="MS PGothic"/>
                <w:sz w:val="18"/>
                <w:szCs w:val="18"/>
                <w:color w:val="00B050"/>
              </w:rPr>
              <w:t>✓</w:t>
            </w:r>
            <w:r>
              <w:rPr>
                <w:rFonts w:ascii="Arial" w:cs="Arial" w:eastAsia="Arial" w:hAnsi="Arial"/>
                <w:sz w:val="18"/>
                <w:szCs w:val="18"/>
                <w:color w:val="auto"/>
              </w:rPr>
              <w:t xml:space="preserve">  Growth in book value per share of 25%</w:t>
            </w:r>
          </w:p>
        </w:tc>
        <w:tc>
          <w:tcPr>
            <w:tcW w:w="5460" w:type="dxa"/>
            <w:vAlign w:val="bottom"/>
          </w:tcPr>
          <w:p>
            <w:pPr>
              <w:ind w:left="260"/>
              <w:spacing w:after="0" w:line="207" w:lineRule="exact"/>
              <w:rPr>
                <w:sz w:val="20"/>
                <w:szCs w:val="20"/>
                <w:color w:val="auto"/>
              </w:rPr>
            </w:pPr>
            <w:r>
              <w:rPr>
                <w:rFonts w:ascii="MS PGothic" w:cs="MS PGothic" w:eastAsia="MS PGothic" w:hAnsi="MS PGothic"/>
                <w:sz w:val="18"/>
                <w:szCs w:val="18"/>
                <w:color w:val="00B050"/>
              </w:rPr>
              <w:t>✓</w:t>
            </w:r>
            <w:r>
              <w:rPr>
                <w:rFonts w:ascii="Arial" w:cs="Arial" w:eastAsia="Arial" w:hAnsi="Arial"/>
                <w:sz w:val="18"/>
                <w:szCs w:val="18"/>
                <w:color w:val="auto"/>
              </w:rPr>
              <w:t xml:space="preserve">  Effected orderly succession of CEO and CFO roles</w:t>
            </w:r>
          </w:p>
        </w:tc>
      </w:tr>
      <w:tr>
        <w:trPr>
          <w:trHeight w:val="252"/>
        </w:trPr>
        <w:tc>
          <w:tcPr>
            <w:tcW w:w="5140" w:type="dxa"/>
            <w:vAlign w:val="bottom"/>
          </w:tcPr>
          <w:p>
            <w:pPr>
              <w:spacing w:after="0" w:line="207" w:lineRule="exact"/>
              <w:rPr>
                <w:sz w:val="20"/>
                <w:szCs w:val="20"/>
                <w:color w:val="auto"/>
              </w:rPr>
            </w:pPr>
            <w:r>
              <w:rPr>
                <w:rFonts w:ascii="MS PGothic" w:cs="MS PGothic" w:eastAsia="MS PGothic" w:hAnsi="MS PGothic"/>
                <w:sz w:val="18"/>
                <w:szCs w:val="18"/>
                <w:color w:val="00B050"/>
              </w:rPr>
              <w:t>✓</w:t>
            </w:r>
            <w:r>
              <w:rPr>
                <w:rFonts w:ascii="Arial" w:cs="Arial" w:eastAsia="Arial" w:hAnsi="Arial"/>
                <w:sz w:val="18"/>
                <w:szCs w:val="18"/>
                <w:color w:val="auto"/>
              </w:rPr>
              <w:t xml:space="preserve">  Sale of Bamboo added roughly $320 to book value per</w:t>
            </w:r>
          </w:p>
        </w:tc>
        <w:tc>
          <w:tcPr>
            <w:tcW w:w="5460" w:type="dxa"/>
            <w:vAlign w:val="bottom"/>
          </w:tcPr>
          <w:p>
            <w:pPr>
              <w:ind w:left="260"/>
              <w:spacing w:after="0" w:line="207" w:lineRule="exact"/>
              <w:rPr>
                <w:sz w:val="20"/>
                <w:szCs w:val="20"/>
                <w:color w:val="auto"/>
              </w:rPr>
            </w:pPr>
            <w:r>
              <w:rPr>
                <w:rFonts w:ascii="MS PGothic" w:cs="MS PGothic" w:eastAsia="MS PGothic" w:hAnsi="MS PGothic"/>
                <w:sz w:val="18"/>
                <w:szCs w:val="18"/>
                <w:color w:val="00B050"/>
              </w:rPr>
              <w:t>✓</w:t>
            </w:r>
            <w:r>
              <w:rPr>
                <w:rFonts w:ascii="Arial" w:cs="Arial" w:eastAsia="Arial" w:hAnsi="Arial"/>
                <w:sz w:val="18"/>
                <w:szCs w:val="18"/>
                <w:color w:val="auto"/>
              </w:rPr>
              <w:t xml:space="preserve">  Ark/WM Outrigger produced an 81% combined ratio while</w:t>
            </w:r>
          </w:p>
        </w:tc>
      </w:tr>
      <w:tr>
        <w:trPr>
          <w:trHeight w:val="183"/>
        </w:trPr>
        <w:tc>
          <w:tcPr>
            <w:tcW w:w="5140" w:type="dxa"/>
            <w:vAlign w:val="bottom"/>
          </w:tcPr>
          <w:p>
            <w:pPr>
              <w:ind w:left="300"/>
              <w:spacing w:after="0" w:line="183" w:lineRule="exact"/>
              <w:rPr>
                <w:sz w:val="20"/>
                <w:szCs w:val="20"/>
                <w:color w:val="auto"/>
              </w:rPr>
            </w:pPr>
            <w:r>
              <w:rPr>
                <w:rFonts w:ascii="Arial" w:cs="Arial" w:eastAsia="Arial" w:hAnsi="Arial"/>
                <w:sz w:val="18"/>
                <w:szCs w:val="18"/>
                <w:color w:val="auto"/>
              </w:rPr>
              <w:t>share</w:t>
            </w:r>
          </w:p>
        </w:tc>
        <w:tc>
          <w:tcPr>
            <w:tcW w:w="5460" w:type="dxa"/>
            <w:vAlign w:val="bottom"/>
          </w:tcPr>
          <w:p>
            <w:pPr>
              <w:ind w:left="560"/>
              <w:spacing w:after="0" w:line="183" w:lineRule="exact"/>
              <w:rPr>
                <w:sz w:val="20"/>
                <w:szCs w:val="20"/>
                <w:color w:val="auto"/>
              </w:rPr>
            </w:pPr>
            <w:r>
              <w:rPr>
                <w:rFonts w:ascii="Arial" w:cs="Arial" w:eastAsia="Arial" w:hAnsi="Arial"/>
                <w:sz w:val="18"/>
                <w:szCs w:val="18"/>
                <w:color w:val="auto"/>
              </w:rPr>
              <w:t>growing full-year gross written premiums by 16%</w:t>
            </w:r>
          </w:p>
        </w:tc>
      </w:tr>
      <w:tr>
        <w:trPr>
          <w:trHeight w:val="240"/>
        </w:trPr>
        <w:tc>
          <w:tcPr>
            <w:tcW w:w="5140" w:type="dxa"/>
            <w:vAlign w:val="bottom"/>
          </w:tcPr>
          <w:p>
            <w:pPr>
              <w:spacing w:after="0" w:line="207" w:lineRule="exact"/>
              <w:rPr>
                <w:sz w:val="20"/>
                <w:szCs w:val="20"/>
                <w:color w:val="auto"/>
              </w:rPr>
            </w:pPr>
            <w:r>
              <w:rPr>
                <w:rFonts w:ascii="MS PGothic" w:cs="MS PGothic" w:eastAsia="MS PGothic" w:hAnsi="MS PGothic"/>
                <w:sz w:val="18"/>
                <w:szCs w:val="18"/>
                <w:color w:val="00B050"/>
              </w:rPr>
              <w:t>✓</w:t>
            </w:r>
            <w:r>
              <w:rPr>
                <w:rFonts w:ascii="Arial" w:cs="Arial" w:eastAsia="Arial" w:hAnsi="Arial"/>
                <w:sz w:val="18"/>
                <w:szCs w:val="18"/>
                <w:color w:val="auto"/>
              </w:rPr>
              <w:t xml:space="preserve">  Repurchased roughly $200 million of shares at accretive</w:t>
            </w:r>
          </w:p>
        </w:tc>
        <w:tc>
          <w:tcPr>
            <w:tcW w:w="5460" w:type="dxa"/>
            <w:vAlign w:val="bottom"/>
          </w:tcPr>
          <w:p>
            <w:pPr>
              <w:ind w:left="260"/>
              <w:spacing w:after="0" w:line="207" w:lineRule="exact"/>
              <w:rPr>
                <w:sz w:val="20"/>
                <w:szCs w:val="20"/>
                <w:color w:val="auto"/>
              </w:rPr>
            </w:pPr>
            <w:r>
              <w:rPr>
                <w:rFonts w:ascii="MS PGothic" w:cs="MS PGothic" w:eastAsia="MS PGothic" w:hAnsi="MS PGothic"/>
                <w:sz w:val="18"/>
                <w:szCs w:val="18"/>
                <w:color w:val="00B050"/>
              </w:rPr>
              <w:t>✓</w:t>
            </w:r>
            <w:r>
              <w:rPr>
                <w:rFonts w:ascii="Arial" w:cs="Arial" w:eastAsia="Arial" w:hAnsi="Arial"/>
                <w:sz w:val="18"/>
                <w:szCs w:val="18"/>
                <w:color w:val="auto"/>
              </w:rPr>
              <w:t xml:space="preserve">  Bamboo generated managed premiums of $766 million, up</w:t>
            </w:r>
          </w:p>
        </w:tc>
      </w:tr>
      <w:tr>
        <w:trPr>
          <w:trHeight w:val="183"/>
        </w:trPr>
        <w:tc>
          <w:tcPr>
            <w:tcW w:w="5140" w:type="dxa"/>
            <w:vAlign w:val="bottom"/>
          </w:tcPr>
          <w:p>
            <w:pPr>
              <w:ind w:left="300"/>
              <w:spacing w:after="0" w:line="183" w:lineRule="exact"/>
              <w:rPr>
                <w:sz w:val="20"/>
                <w:szCs w:val="20"/>
                <w:color w:val="auto"/>
              </w:rPr>
            </w:pPr>
            <w:r>
              <w:rPr>
                <w:rFonts w:ascii="Arial" w:cs="Arial" w:eastAsia="Arial" w:hAnsi="Arial"/>
                <w:sz w:val="18"/>
                <w:szCs w:val="18"/>
                <w:color w:val="auto"/>
              </w:rPr>
              <w:t>prices</w:t>
            </w:r>
          </w:p>
        </w:tc>
        <w:tc>
          <w:tcPr>
            <w:tcW w:w="5460" w:type="dxa"/>
            <w:vAlign w:val="bottom"/>
          </w:tcPr>
          <w:p>
            <w:pPr>
              <w:ind w:left="560"/>
              <w:spacing w:after="0" w:line="183" w:lineRule="exact"/>
              <w:rPr>
                <w:sz w:val="20"/>
                <w:szCs w:val="20"/>
                <w:color w:val="auto"/>
              </w:rPr>
            </w:pPr>
            <w:r>
              <w:rPr>
                <w:rFonts w:ascii="Arial" w:cs="Arial" w:eastAsia="Arial" w:hAnsi="Arial"/>
                <w:sz w:val="18"/>
                <w:szCs w:val="18"/>
                <w:color w:val="auto"/>
              </w:rPr>
              <w:t>58%</w:t>
            </w:r>
          </w:p>
        </w:tc>
      </w:tr>
      <w:tr>
        <w:trPr>
          <w:trHeight w:val="212"/>
        </w:trPr>
        <w:tc>
          <w:tcPr>
            <w:tcW w:w="5140" w:type="dxa"/>
            <w:vAlign w:val="bottom"/>
          </w:tcPr>
          <w:p>
            <w:pPr>
              <w:spacing w:after="0" w:line="207" w:lineRule="exact"/>
              <w:rPr>
                <w:sz w:val="20"/>
                <w:szCs w:val="20"/>
                <w:color w:val="auto"/>
              </w:rPr>
            </w:pPr>
            <w:r>
              <w:rPr>
                <w:rFonts w:ascii="MS PGothic" w:cs="MS PGothic" w:eastAsia="MS PGothic" w:hAnsi="MS PGothic"/>
                <w:sz w:val="18"/>
                <w:szCs w:val="18"/>
                <w:color w:val="00B050"/>
              </w:rPr>
              <w:t>✓</w:t>
            </w:r>
            <w:r>
              <w:rPr>
                <w:rFonts w:ascii="Arial" w:cs="Arial" w:eastAsia="Arial" w:hAnsi="Arial"/>
                <w:sz w:val="18"/>
                <w:szCs w:val="18"/>
                <w:color w:val="auto"/>
              </w:rPr>
              <w:t xml:space="preserve">  Acquired majority stake in Distinguished Programs</w:t>
            </w:r>
          </w:p>
        </w:tc>
        <w:tc>
          <w:tcPr>
            <w:tcW w:w="5460" w:type="dxa"/>
            <w:vAlign w:val="bottom"/>
          </w:tcPr>
          <w:p>
            <w:pPr>
              <w:ind w:left="260"/>
              <w:spacing w:after="0" w:line="207" w:lineRule="exact"/>
              <w:rPr>
                <w:sz w:val="20"/>
                <w:szCs w:val="20"/>
                <w:color w:val="auto"/>
              </w:rPr>
            </w:pPr>
            <w:r>
              <w:rPr>
                <w:rFonts w:ascii="MS PGothic" w:cs="MS PGothic" w:eastAsia="MS PGothic" w:hAnsi="MS PGothic"/>
                <w:sz w:val="18"/>
                <w:szCs w:val="18"/>
                <w:color w:val="00B050"/>
              </w:rPr>
              <w:t>✓</w:t>
            </w:r>
            <w:r>
              <w:rPr>
                <w:rFonts w:ascii="Arial" w:cs="Arial" w:eastAsia="Arial" w:hAnsi="Arial"/>
                <w:sz w:val="18"/>
                <w:szCs w:val="18"/>
                <w:color w:val="auto"/>
              </w:rPr>
              <w:t xml:space="preserve">  Kudu produced a 13% return on equity and deployed almost</w:t>
            </w:r>
          </w:p>
        </w:tc>
      </w:tr>
      <w:tr>
        <w:trPr>
          <w:trHeight w:val="223"/>
        </w:trPr>
        <w:tc>
          <w:tcPr>
            <w:tcW w:w="5140" w:type="dxa"/>
            <w:vAlign w:val="bottom"/>
          </w:tcPr>
          <w:p>
            <w:pPr>
              <w:spacing w:after="0" w:line="207" w:lineRule="exact"/>
              <w:rPr>
                <w:sz w:val="20"/>
                <w:szCs w:val="20"/>
                <w:color w:val="auto"/>
              </w:rPr>
            </w:pPr>
            <w:r>
              <w:rPr>
                <w:rFonts w:ascii="MS PGothic" w:cs="MS PGothic" w:eastAsia="MS PGothic" w:hAnsi="MS PGothic"/>
                <w:sz w:val="18"/>
                <w:szCs w:val="18"/>
                <w:color w:val="00B050"/>
              </w:rPr>
              <w:t>✓</w:t>
            </w:r>
            <w:r>
              <w:rPr>
                <w:rFonts w:ascii="Arial" w:cs="Arial" w:eastAsia="Arial" w:hAnsi="Arial"/>
                <w:sz w:val="18"/>
                <w:szCs w:val="18"/>
                <w:color w:val="auto"/>
              </w:rPr>
              <w:t xml:space="preserve">  Made a strategic investment in BroadStreet Partners</w:t>
            </w:r>
          </w:p>
        </w:tc>
        <w:tc>
          <w:tcPr>
            <w:tcW w:w="5460" w:type="dxa"/>
            <w:vAlign w:val="bottom"/>
          </w:tcPr>
          <w:p>
            <w:pPr>
              <w:ind w:left="560"/>
              <w:spacing w:after="0"/>
              <w:rPr>
                <w:sz w:val="20"/>
                <w:szCs w:val="20"/>
                <w:color w:val="auto"/>
              </w:rPr>
            </w:pPr>
            <w:r>
              <w:rPr>
                <w:rFonts w:ascii="Arial" w:cs="Arial" w:eastAsia="Arial" w:hAnsi="Arial"/>
                <w:sz w:val="18"/>
                <w:szCs w:val="18"/>
                <w:color w:val="auto"/>
              </w:rPr>
              <w:t>$200 million into three new managers</w:t>
            </w:r>
          </w:p>
        </w:tc>
      </w:tr>
      <w:tr>
        <w:trPr>
          <w:trHeight w:val="308"/>
        </w:trPr>
        <w:tc>
          <w:tcPr>
            <w:tcW w:w="5140" w:type="dxa"/>
            <w:vAlign w:val="bottom"/>
          </w:tcPr>
          <w:p>
            <w:pPr>
              <w:spacing w:after="0" w:line="207" w:lineRule="exact"/>
              <w:rPr>
                <w:sz w:val="20"/>
                <w:szCs w:val="20"/>
                <w:color w:val="auto"/>
              </w:rPr>
            </w:pPr>
            <w:r>
              <w:rPr>
                <w:rFonts w:ascii="MS PGothic" w:cs="MS PGothic" w:eastAsia="MS PGothic" w:hAnsi="MS PGothic"/>
                <w:sz w:val="18"/>
                <w:szCs w:val="18"/>
                <w:color w:val="00B050"/>
              </w:rPr>
              <w:t>✓</w:t>
            </w:r>
            <w:r>
              <w:rPr>
                <w:rFonts w:ascii="Arial" w:cs="Arial" w:eastAsia="Arial" w:hAnsi="Arial"/>
                <w:sz w:val="18"/>
                <w:szCs w:val="18"/>
                <w:color w:val="auto"/>
              </w:rPr>
              <w:t xml:space="preserve">  White Mountains Partners acquired Enterprise Solutions</w:t>
            </w:r>
          </w:p>
        </w:tc>
        <w:tc>
          <w:tcPr>
            <w:tcW w:w="5460" w:type="dxa"/>
            <w:vAlign w:val="bottom"/>
          </w:tcPr>
          <w:p>
            <w:pPr>
              <w:ind w:left="260"/>
              <w:spacing w:after="0" w:line="207" w:lineRule="exact"/>
              <w:rPr>
                <w:sz w:val="20"/>
                <w:szCs w:val="20"/>
                <w:color w:val="auto"/>
              </w:rPr>
            </w:pPr>
            <w:r>
              <w:rPr>
                <w:rFonts w:ascii="MS PGothic" w:cs="MS PGothic" w:eastAsia="MS PGothic" w:hAnsi="MS PGothic"/>
                <w:sz w:val="18"/>
                <w:szCs w:val="18"/>
                <w:color w:val="00B050"/>
              </w:rPr>
              <w:t>✓</w:t>
            </w:r>
            <w:r>
              <w:rPr>
                <w:rFonts w:ascii="Arial" w:cs="Arial" w:eastAsia="Arial" w:hAnsi="Arial"/>
                <w:sz w:val="18"/>
                <w:szCs w:val="18"/>
                <w:color w:val="auto"/>
              </w:rPr>
              <w:t xml:space="preserve">  HG Global generated premiums of $61 million, up 17%</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our business and performance highlights, please refer to page 29 of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316865</wp:posOffset>
            </wp:positionV>
            <wp:extent cx="714311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Borders>
              <w:top w:val="single" w:sz="8" w:color="auto"/>
            </w:tcBorders>
          </w:tcPr>
          <w:p>
            <w:pPr>
              <w:ind w:left="160"/>
              <w:spacing w:after="0" w:line="202" w:lineRule="exact"/>
              <w:rPr>
                <w:sz w:val="20"/>
                <w:szCs w:val="20"/>
                <w:color w:val="auto"/>
              </w:rPr>
            </w:pPr>
            <w:r>
              <w:rPr>
                <w:rFonts w:ascii="Arial" w:cs="Arial" w:eastAsia="Arial" w:hAnsi="Arial"/>
                <w:sz w:val="18"/>
                <w:szCs w:val="18"/>
                <w:b w:val="1"/>
                <w:bCs w:val="1"/>
                <w:i w:val="1"/>
                <w:iCs w:val="1"/>
                <w:color w:val="auto"/>
              </w:rPr>
              <w:t>Class II Nominees – Term ending in 2029</w:t>
            </w:r>
          </w:p>
        </w:tc>
        <w:tc>
          <w:tcPr>
            <w:tcW w:w="1500" w:type="dxa"/>
            <w:vAlign w:val="bottom"/>
            <w:tcBorders>
              <w:top w:val="single" w:sz="8" w:color="auto"/>
            </w:tcBorders>
          </w:tcPr>
          <w:p>
            <w:pPr>
              <w:jc w:val="center"/>
              <w:ind w:left="169"/>
              <w:spacing w:after="0" w:line="202" w:lineRule="exact"/>
              <w:rPr>
                <w:sz w:val="20"/>
                <w:szCs w:val="20"/>
                <w:color w:val="auto"/>
              </w:rPr>
            </w:pPr>
            <w:r>
              <w:rPr>
                <w:rFonts w:ascii="Arial" w:cs="Arial" w:eastAsia="Arial" w:hAnsi="Arial"/>
                <w:sz w:val="18"/>
                <w:szCs w:val="18"/>
                <w:b w:val="1"/>
                <w:bCs w:val="1"/>
                <w:i w:val="1"/>
                <w:iCs w:val="1"/>
                <w:color w:val="auto"/>
              </w:rPr>
              <w:t>Age</w:t>
            </w:r>
          </w:p>
        </w:tc>
        <w:tc>
          <w:tcPr>
            <w:tcW w:w="2340" w:type="dxa"/>
            <w:vAlign w:val="bottom"/>
            <w:tcBorders>
              <w:top w:val="single" w:sz="8" w:color="auto"/>
            </w:tcBorders>
          </w:tcPr>
          <w:p>
            <w:pPr>
              <w:jc w:val="center"/>
              <w:ind w:left="149"/>
              <w:spacing w:after="0" w:line="202" w:lineRule="exact"/>
              <w:rPr>
                <w:sz w:val="20"/>
                <w:szCs w:val="20"/>
                <w:color w:val="auto"/>
              </w:rPr>
            </w:pPr>
            <w:r>
              <w:rPr>
                <w:rFonts w:ascii="Arial" w:cs="Arial" w:eastAsia="Arial" w:hAnsi="Arial"/>
                <w:sz w:val="18"/>
                <w:szCs w:val="18"/>
                <w:b w:val="1"/>
                <w:bCs w:val="1"/>
                <w:i w:val="1"/>
                <w:iCs w:val="1"/>
                <w:color w:val="auto"/>
                <w:w w:val="99"/>
              </w:rPr>
              <w:t>Director Since</w:t>
            </w:r>
          </w:p>
        </w:tc>
        <w:tc>
          <w:tcPr>
            <w:tcW w:w="304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b w:val="1"/>
                <w:bCs w:val="1"/>
                <w:i w:val="1"/>
                <w:iCs w:val="1"/>
                <w:color w:val="auto"/>
              </w:rPr>
              <w:t>Our Board’s Recommendation</w:t>
            </w:r>
          </w:p>
        </w:tc>
      </w:tr>
      <w:tr>
        <w:trPr>
          <w:trHeight w:val="212"/>
        </w:trPr>
        <w:tc>
          <w:tcPr>
            <w:tcW w:w="4360" w:type="dxa"/>
            <w:vAlign w:val="bottom"/>
          </w:tcPr>
          <w:p>
            <w:pPr>
              <w:ind w:left="160"/>
              <w:spacing w:after="0"/>
              <w:rPr>
                <w:sz w:val="20"/>
                <w:szCs w:val="20"/>
                <w:color w:val="auto"/>
              </w:rPr>
            </w:pPr>
            <w:r>
              <w:rPr>
                <w:rFonts w:ascii="Arial" w:cs="Arial" w:eastAsia="Arial" w:hAnsi="Arial"/>
                <w:sz w:val="18"/>
                <w:szCs w:val="18"/>
                <w:color w:val="auto"/>
              </w:rPr>
              <w:t>Liam P. Caffrey</w:t>
            </w:r>
          </w:p>
        </w:tc>
        <w:tc>
          <w:tcPr>
            <w:tcW w:w="1500" w:type="dxa"/>
            <w:vAlign w:val="bottom"/>
          </w:tcPr>
          <w:p>
            <w:pPr>
              <w:jc w:val="center"/>
              <w:ind w:left="169"/>
              <w:spacing w:after="0"/>
              <w:rPr>
                <w:sz w:val="20"/>
                <w:szCs w:val="20"/>
                <w:color w:val="auto"/>
              </w:rPr>
            </w:pPr>
            <w:r>
              <w:rPr>
                <w:rFonts w:ascii="Arial" w:cs="Arial" w:eastAsia="Arial" w:hAnsi="Arial"/>
                <w:sz w:val="18"/>
                <w:szCs w:val="18"/>
                <w:color w:val="auto"/>
                <w:w w:val="99"/>
              </w:rPr>
              <w:t>53</w:t>
            </w:r>
          </w:p>
        </w:tc>
        <w:tc>
          <w:tcPr>
            <w:tcW w:w="2340" w:type="dxa"/>
            <w:vAlign w:val="bottom"/>
          </w:tcPr>
          <w:p>
            <w:pPr>
              <w:jc w:val="center"/>
              <w:ind w:left="149"/>
              <w:spacing w:after="0"/>
              <w:rPr>
                <w:sz w:val="20"/>
                <w:szCs w:val="20"/>
                <w:color w:val="auto"/>
              </w:rPr>
            </w:pPr>
            <w:r>
              <w:rPr>
                <w:rFonts w:ascii="Arial" w:cs="Arial" w:eastAsia="Arial" w:hAnsi="Arial"/>
                <w:sz w:val="18"/>
                <w:szCs w:val="18"/>
                <w:color w:val="auto"/>
              </w:rPr>
              <w:t>2026</w:t>
            </w:r>
          </w:p>
        </w:tc>
        <w:tc>
          <w:tcPr>
            <w:tcW w:w="3040" w:type="dxa"/>
            <w:vAlign w:val="bottom"/>
          </w:tcPr>
          <w:p>
            <w:pPr>
              <w:jc w:val="center"/>
              <w:spacing w:after="0"/>
              <w:rPr>
                <w:sz w:val="20"/>
                <w:szCs w:val="20"/>
                <w:color w:val="auto"/>
              </w:rPr>
            </w:pPr>
            <w:r>
              <w:rPr>
                <w:rFonts w:ascii="Arial" w:cs="Arial" w:eastAsia="Arial" w:hAnsi="Arial"/>
                <w:sz w:val="18"/>
                <w:szCs w:val="18"/>
                <w:color w:val="auto"/>
                <w:w w:val="96"/>
              </w:rPr>
              <w:t>For</w:t>
            </w:r>
          </w:p>
        </w:tc>
      </w:tr>
      <w:tr>
        <w:trPr>
          <w:trHeight w:val="212"/>
        </w:trPr>
        <w:tc>
          <w:tcPr>
            <w:tcW w:w="4360" w:type="dxa"/>
            <w:vAlign w:val="bottom"/>
          </w:tcPr>
          <w:p>
            <w:pPr>
              <w:ind w:left="160"/>
              <w:spacing w:after="0"/>
              <w:rPr>
                <w:sz w:val="20"/>
                <w:szCs w:val="20"/>
                <w:color w:val="auto"/>
              </w:rPr>
            </w:pPr>
            <w:r>
              <w:rPr>
                <w:rFonts w:ascii="Arial" w:cs="Arial" w:eastAsia="Arial" w:hAnsi="Arial"/>
                <w:sz w:val="18"/>
                <w:szCs w:val="18"/>
                <w:color w:val="auto"/>
              </w:rPr>
              <w:t>Mary C. Choksi</w:t>
            </w:r>
          </w:p>
        </w:tc>
        <w:tc>
          <w:tcPr>
            <w:tcW w:w="1500" w:type="dxa"/>
            <w:vAlign w:val="bottom"/>
          </w:tcPr>
          <w:p>
            <w:pPr>
              <w:jc w:val="center"/>
              <w:ind w:left="169"/>
              <w:spacing w:after="0"/>
              <w:rPr>
                <w:sz w:val="20"/>
                <w:szCs w:val="20"/>
                <w:color w:val="auto"/>
              </w:rPr>
            </w:pPr>
            <w:r>
              <w:rPr>
                <w:rFonts w:ascii="Arial" w:cs="Arial" w:eastAsia="Arial" w:hAnsi="Arial"/>
                <w:sz w:val="18"/>
                <w:szCs w:val="18"/>
                <w:color w:val="auto"/>
                <w:w w:val="99"/>
              </w:rPr>
              <w:t>75</w:t>
            </w:r>
          </w:p>
        </w:tc>
        <w:tc>
          <w:tcPr>
            <w:tcW w:w="2340" w:type="dxa"/>
            <w:vAlign w:val="bottom"/>
          </w:tcPr>
          <w:p>
            <w:pPr>
              <w:jc w:val="center"/>
              <w:ind w:left="149"/>
              <w:spacing w:after="0"/>
              <w:rPr>
                <w:sz w:val="20"/>
                <w:szCs w:val="20"/>
                <w:color w:val="auto"/>
              </w:rPr>
            </w:pPr>
            <w:r>
              <w:rPr>
                <w:rFonts w:ascii="Arial" w:cs="Arial" w:eastAsia="Arial" w:hAnsi="Arial"/>
                <w:sz w:val="18"/>
                <w:szCs w:val="18"/>
                <w:color w:val="auto"/>
              </w:rPr>
              <w:t>2017</w:t>
            </w:r>
          </w:p>
        </w:tc>
        <w:tc>
          <w:tcPr>
            <w:tcW w:w="3040" w:type="dxa"/>
            <w:vAlign w:val="bottom"/>
          </w:tcPr>
          <w:p>
            <w:pPr>
              <w:jc w:val="center"/>
              <w:spacing w:after="0"/>
              <w:rPr>
                <w:sz w:val="20"/>
                <w:szCs w:val="20"/>
                <w:color w:val="auto"/>
              </w:rPr>
            </w:pPr>
            <w:r>
              <w:rPr>
                <w:rFonts w:ascii="Arial" w:cs="Arial" w:eastAsia="Arial" w:hAnsi="Arial"/>
                <w:sz w:val="18"/>
                <w:szCs w:val="18"/>
                <w:color w:val="auto"/>
                <w:w w:val="96"/>
              </w:rPr>
              <w:t>For</w:t>
            </w:r>
          </w:p>
        </w:tc>
      </w:tr>
      <w:tr>
        <w:trPr>
          <w:trHeight w:val="212"/>
        </w:trPr>
        <w:tc>
          <w:tcPr>
            <w:tcW w:w="4360" w:type="dxa"/>
            <w:vAlign w:val="bottom"/>
          </w:tcPr>
          <w:p>
            <w:pPr>
              <w:ind w:left="160"/>
              <w:spacing w:after="0"/>
              <w:rPr>
                <w:sz w:val="20"/>
                <w:szCs w:val="20"/>
                <w:color w:val="auto"/>
              </w:rPr>
            </w:pPr>
            <w:r>
              <w:rPr>
                <w:rFonts w:ascii="Arial" w:cs="Arial" w:eastAsia="Arial" w:hAnsi="Arial"/>
                <w:sz w:val="18"/>
                <w:szCs w:val="18"/>
                <w:color w:val="auto"/>
              </w:rPr>
              <w:t>John K. Chu</w:t>
            </w:r>
          </w:p>
        </w:tc>
        <w:tc>
          <w:tcPr>
            <w:tcW w:w="1500" w:type="dxa"/>
            <w:vAlign w:val="bottom"/>
          </w:tcPr>
          <w:p>
            <w:pPr>
              <w:jc w:val="center"/>
              <w:ind w:left="169"/>
              <w:spacing w:after="0"/>
              <w:rPr>
                <w:sz w:val="20"/>
                <w:szCs w:val="20"/>
                <w:color w:val="auto"/>
              </w:rPr>
            </w:pPr>
            <w:r>
              <w:rPr>
                <w:rFonts w:ascii="Arial" w:cs="Arial" w:eastAsia="Arial" w:hAnsi="Arial"/>
                <w:sz w:val="18"/>
                <w:szCs w:val="18"/>
                <w:color w:val="auto"/>
                <w:w w:val="99"/>
              </w:rPr>
              <w:t>62</w:t>
            </w:r>
          </w:p>
        </w:tc>
        <w:tc>
          <w:tcPr>
            <w:tcW w:w="2340" w:type="dxa"/>
            <w:vAlign w:val="bottom"/>
          </w:tcPr>
          <w:p>
            <w:pPr>
              <w:jc w:val="center"/>
              <w:ind w:left="149"/>
              <w:spacing w:after="0"/>
              <w:rPr>
                <w:sz w:val="20"/>
                <w:szCs w:val="20"/>
                <w:color w:val="auto"/>
              </w:rPr>
            </w:pPr>
            <w:r>
              <w:rPr>
                <w:rFonts w:ascii="Arial" w:cs="Arial" w:eastAsia="Arial" w:hAnsi="Arial"/>
                <w:sz w:val="18"/>
                <w:szCs w:val="18"/>
                <w:color w:val="auto"/>
              </w:rPr>
              <w:t>Nominee for election</w:t>
            </w:r>
          </w:p>
        </w:tc>
        <w:tc>
          <w:tcPr>
            <w:tcW w:w="3040" w:type="dxa"/>
            <w:vAlign w:val="bottom"/>
          </w:tcPr>
          <w:p>
            <w:pPr>
              <w:jc w:val="center"/>
              <w:spacing w:after="0"/>
              <w:rPr>
                <w:sz w:val="20"/>
                <w:szCs w:val="20"/>
                <w:color w:val="auto"/>
              </w:rPr>
            </w:pPr>
            <w:r>
              <w:rPr>
                <w:rFonts w:ascii="Arial" w:cs="Arial" w:eastAsia="Arial" w:hAnsi="Arial"/>
                <w:sz w:val="18"/>
                <w:szCs w:val="18"/>
                <w:color w:val="auto"/>
                <w:w w:val="96"/>
              </w:rPr>
              <w:t>For</w:t>
            </w:r>
          </w:p>
        </w:tc>
      </w:tr>
      <w:tr>
        <w:trPr>
          <w:trHeight w:val="233"/>
        </w:trPr>
        <w:tc>
          <w:tcPr>
            <w:tcW w:w="43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Weston M. Hicks</w:t>
            </w:r>
          </w:p>
        </w:tc>
        <w:tc>
          <w:tcPr>
            <w:tcW w:w="1500" w:type="dxa"/>
            <w:vAlign w:val="bottom"/>
            <w:tcBorders>
              <w:bottom w:val="single" w:sz="8" w:color="auto"/>
            </w:tcBorders>
          </w:tcPr>
          <w:p>
            <w:pPr>
              <w:jc w:val="center"/>
              <w:ind w:left="169"/>
              <w:spacing w:after="0"/>
              <w:rPr>
                <w:sz w:val="20"/>
                <w:szCs w:val="20"/>
                <w:color w:val="auto"/>
              </w:rPr>
            </w:pPr>
            <w:r>
              <w:rPr>
                <w:rFonts w:ascii="Arial" w:cs="Arial" w:eastAsia="Arial" w:hAnsi="Arial"/>
                <w:sz w:val="18"/>
                <w:szCs w:val="18"/>
                <w:color w:val="auto"/>
                <w:w w:val="99"/>
              </w:rPr>
              <w:t>69</w:t>
            </w:r>
          </w:p>
        </w:tc>
        <w:tc>
          <w:tcPr>
            <w:tcW w:w="2340" w:type="dxa"/>
            <w:vAlign w:val="bottom"/>
            <w:tcBorders>
              <w:bottom w:val="single" w:sz="8" w:color="auto"/>
            </w:tcBorders>
          </w:tcPr>
          <w:p>
            <w:pPr>
              <w:jc w:val="center"/>
              <w:ind w:left="149"/>
              <w:spacing w:after="0"/>
              <w:rPr>
                <w:sz w:val="20"/>
                <w:szCs w:val="20"/>
                <w:color w:val="auto"/>
              </w:rPr>
            </w:pPr>
            <w:r>
              <w:rPr>
                <w:rFonts w:ascii="Arial" w:cs="Arial" w:eastAsia="Arial" w:hAnsi="Arial"/>
                <w:sz w:val="18"/>
                <w:szCs w:val="18"/>
                <w:color w:val="auto"/>
              </w:rPr>
              <w:t>2023</w:t>
            </w: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For</w:t>
            </w:r>
          </w:p>
        </w:tc>
      </w:tr>
      <w:tr>
        <w:trPr>
          <w:trHeight w:val="204"/>
        </w:trPr>
        <w:tc>
          <w:tcPr>
            <w:tcW w:w="43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tcPr>
          <w:p>
            <w:pPr>
              <w:spacing w:after="0"/>
              <w:rPr>
                <w:sz w:val="17"/>
                <w:szCs w:val="17"/>
                <w:color w:val="auto"/>
              </w:rPr>
            </w:pPr>
          </w:p>
        </w:tc>
      </w:tr>
      <w:tr>
        <w:trPr>
          <w:trHeight w:val="204"/>
        </w:trPr>
        <w:tc>
          <w:tcPr>
            <w:tcW w:w="4360" w:type="dxa"/>
            <w:vAlign w:val="bottom"/>
            <w:tcBorders>
              <w:bottom w:val="single" w:sz="8" w:color="auto"/>
            </w:tcBorders>
          </w:tcPr>
          <w:p>
            <w:pPr>
              <w:spacing w:after="0" w:line="204" w:lineRule="exact"/>
              <w:rPr>
                <w:sz w:val="20"/>
                <w:szCs w:val="20"/>
                <w:color w:val="auto"/>
              </w:rPr>
            </w:pPr>
            <w:r>
              <w:rPr>
                <w:rFonts w:ascii="Arial" w:cs="Arial" w:eastAsia="Arial" w:hAnsi="Arial"/>
                <w:sz w:val="18"/>
                <w:szCs w:val="18"/>
                <w:b w:val="1"/>
                <w:bCs w:val="1"/>
                <w:color w:val="auto"/>
              </w:rPr>
              <w:t>Other Members of the Board</w:t>
            </w:r>
          </w:p>
        </w:tc>
        <w:tc>
          <w:tcPr>
            <w:tcW w:w="15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tcPr>
          <w:p>
            <w:pPr>
              <w:spacing w:after="0"/>
              <w:rPr>
                <w:sz w:val="17"/>
                <w:szCs w:val="17"/>
                <w:color w:val="auto"/>
              </w:rPr>
            </w:pPr>
          </w:p>
        </w:tc>
      </w:tr>
      <w:tr>
        <w:trPr>
          <w:trHeight w:val="232"/>
        </w:trPr>
        <w:tc>
          <w:tcPr>
            <w:tcW w:w="43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Class I - Term ending in 2028</w:t>
            </w:r>
          </w:p>
        </w:tc>
        <w:tc>
          <w:tcPr>
            <w:tcW w:w="1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236"/>
        </w:trPr>
        <w:tc>
          <w:tcPr>
            <w:tcW w:w="4360" w:type="dxa"/>
            <w:vAlign w:val="bottom"/>
          </w:tcPr>
          <w:p>
            <w:pPr>
              <w:ind w:left="160"/>
              <w:spacing w:after="0"/>
              <w:rPr>
                <w:sz w:val="20"/>
                <w:szCs w:val="20"/>
                <w:color w:val="auto"/>
              </w:rPr>
            </w:pPr>
            <w:r>
              <w:rPr>
                <w:rFonts w:ascii="Arial" w:cs="Arial" w:eastAsia="Arial" w:hAnsi="Arial"/>
                <w:sz w:val="18"/>
                <w:szCs w:val="18"/>
                <w:color w:val="auto"/>
              </w:rPr>
              <w:t>Reid T. Campbell</w:t>
            </w:r>
          </w:p>
        </w:tc>
        <w:tc>
          <w:tcPr>
            <w:tcW w:w="1500" w:type="dxa"/>
            <w:vAlign w:val="bottom"/>
          </w:tcPr>
          <w:p>
            <w:pPr>
              <w:jc w:val="center"/>
              <w:ind w:left="169"/>
              <w:spacing w:after="0"/>
              <w:rPr>
                <w:sz w:val="20"/>
                <w:szCs w:val="20"/>
                <w:color w:val="auto"/>
              </w:rPr>
            </w:pPr>
            <w:r>
              <w:rPr>
                <w:rFonts w:ascii="Arial" w:cs="Arial" w:eastAsia="Arial" w:hAnsi="Arial"/>
                <w:sz w:val="18"/>
                <w:szCs w:val="18"/>
                <w:color w:val="auto"/>
                <w:w w:val="99"/>
              </w:rPr>
              <w:t>58</w:t>
            </w:r>
          </w:p>
        </w:tc>
        <w:tc>
          <w:tcPr>
            <w:tcW w:w="2340" w:type="dxa"/>
            <w:vAlign w:val="bottom"/>
          </w:tcPr>
          <w:p>
            <w:pPr>
              <w:jc w:val="center"/>
              <w:ind w:left="149"/>
              <w:spacing w:after="0"/>
              <w:rPr>
                <w:sz w:val="20"/>
                <w:szCs w:val="20"/>
                <w:color w:val="auto"/>
              </w:rPr>
            </w:pPr>
            <w:r>
              <w:rPr>
                <w:rFonts w:ascii="Arial" w:cs="Arial" w:eastAsia="Arial" w:hAnsi="Arial"/>
                <w:sz w:val="18"/>
                <w:szCs w:val="18"/>
                <w:color w:val="auto"/>
              </w:rPr>
              <w:t>2024</w:t>
            </w:r>
          </w:p>
        </w:tc>
        <w:tc>
          <w:tcPr>
            <w:tcW w:w="3040" w:type="dxa"/>
            <w:vAlign w:val="bottom"/>
          </w:tcPr>
          <w:p>
            <w:pPr>
              <w:spacing w:after="0"/>
              <w:rPr>
                <w:sz w:val="20"/>
                <w:szCs w:val="20"/>
                <w:color w:val="auto"/>
              </w:rPr>
            </w:pPr>
          </w:p>
        </w:tc>
      </w:tr>
      <w:tr>
        <w:trPr>
          <w:trHeight w:val="236"/>
        </w:trPr>
        <w:tc>
          <w:tcPr>
            <w:tcW w:w="4360" w:type="dxa"/>
            <w:vAlign w:val="bottom"/>
          </w:tcPr>
          <w:p>
            <w:pPr>
              <w:ind w:left="160"/>
              <w:spacing w:after="0"/>
              <w:rPr>
                <w:sz w:val="20"/>
                <w:szCs w:val="20"/>
                <w:color w:val="auto"/>
              </w:rPr>
            </w:pPr>
            <w:r>
              <w:rPr>
                <w:rFonts w:ascii="Arial" w:cs="Arial" w:eastAsia="Arial" w:hAnsi="Arial"/>
                <w:sz w:val="18"/>
                <w:szCs w:val="18"/>
                <w:color w:val="auto"/>
              </w:rPr>
              <w:t>Peter M. Carlson</w:t>
            </w:r>
          </w:p>
        </w:tc>
        <w:tc>
          <w:tcPr>
            <w:tcW w:w="1500" w:type="dxa"/>
            <w:vAlign w:val="bottom"/>
          </w:tcPr>
          <w:p>
            <w:pPr>
              <w:jc w:val="center"/>
              <w:ind w:left="169"/>
              <w:spacing w:after="0"/>
              <w:rPr>
                <w:sz w:val="20"/>
                <w:szCs w:val="20"/>
                <w:color w:val="auto"/>
              </w:rPr>
            </w:pPr>
            <w:r>
              <w:rPr>
                <w:rFonts w:ascii="Arial" w:cs="Arial" w:eastAsia="Arial" w:hAnsi="Arial"/>
                <w:sz w:val="18"/>
                <w:szCs w:val="18"/>
                <w:color w:val="auto"/>
                <w:w w:val="99"/>
              </w:rPr>
              <w:t>61</w:t>
            </w:r>
          </w:p>
        </w:tc>
        <w:tc>
          <w:tcPr>
            <w:tcW w:w="2340" w:type="dxa"/>
            <w:vAlign w:val="bottom"/>
          </w:tcPr>
          <w:p>
            <w:pPr>
              <w:jc w:val="center"/>
              <w:ind w:left="149"/>
              <w:spacing w:after="0"/>
              <w:rPr>
                <w:sz w:val="20"/>
                <w:szCs w:val="20"/>
                <w:color w:val="auto"/>
              </w:rPr>
            </w:pPr>
            <w:r>
              <w:rPr>
                <w:rFonts w:ascii="Arial" w:cs="Arial" w:eastAsia="Arial" w:hAnsi="Arial"/>
                <w:sz w:val="18"/>
                <w:szCs w:val="18"/>
                <w:color w:val="auto"/>
              </w:rPr>
              <w:t>2019</w:t>
            </w:r>
          </w:p>
        </w:tc>
        <w:tc>
          <w:tcPr>
            <w:tcW w:w="3040" w:type="dxa"/>
            <w:vAlign w:val="bottom"/>
          </w:tcPr>
          <w:p>
            <w:pPr>
              <w:spacing w:after="0"/>
              <w:rPr>
                <w:sz w:val="20"/>
                <w:szCs w:val="20"/>
                <w:color w:val="auto"/>
              </w:rPr>
            </w:pPr>
          </w:p>
        </w:tc>
      </w:tr>
      <w:tr>
        <w:trPr>
          <w:trHeight w:val="233"/>
        </w:trPr>
        <w:tc>
          <w:tcPr>
            <w:tcW w:w="43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Suzanne F. Shank</w:t>
            </w:r>
          </w:p>
        </w:tc>
        <w:tc>
          <w:tcPr>
            <w:tcW w:w="1500" w:type="dxa"/>
            <w:vAlign w:val="bottom"/>
            <w:tcBorders>
              <w:bottom w:val="single" w:sz="8" w:color="auto"/>
            </w:tcBorders>
          </w:tcPr>
          <w:p>
            <w:pPr>
              <w:jc w:val="center"/>
              <w:ind w:left="169"/>
              <w:spacing w:after="0"/>
              <w:rPr>
                <w:sz w:val="20"/>
                <w:szCs w:val="20"/>
                <w:color w:val="auto"/>
              </w:rPr>
            </w:pPr>
            <w:r>
              <w:rPr>
                <w:rFonts w:ascii="Arial" w:cs="Arial" w:eastAsia="Arial" w:hAnsi="Arial"/>
                <w:sz w:val="18"/>
                <w:szCs w:val="18"/>
                <w:color w:val="auto"/>
                <w:w w:val="99"/>
              </w:rPr>
              <w:t>64</w:t>
            </w:r>
          </w:p>
        </w:tc>
        <w:tc>
          <w:tcPr>
            <w:tcW w:w="2340" w:type="dxa"/>
            <w:vAlign w:val="bottom"/>
            <w:tcBorders>
              <w:bottom w:val="single" w:sz="8" w:color="auto"/>
            </w:tcBorders>
          </w:tcPr>
          <w:p>
            <w:pPr>
              <w:jc w:val="center"/>
              <w:ind w:left="149"/>
              <w:spacing w:after="0"/>
              <w:rPr>
                <w:sz w:val="20"/>
                <w:szCs w:val="20"/>
                <w:color w:val="auto"/>
              </w:rPr>
            </w:pPr>
            <w:r>
              <w:rPr>
                <w:rFonts w:ascii="Arial" w:cs="Arial" w:eastAsia="Arial" w:hAnsi="Arial"/>
                <w:sz w:val="18"/>
                <w:szCs w:val="18"/>
                <w:color w:val="auto"/>
              </w:rPr>
              <w:t>2021</w:t>
            </w:r>
          </w:p>
        </w:tc>
        <w:tc>
          <w:tcPr>
            <w:tcW w:w="3040" w:type="dxa"/>
            <w:vAlign w:val="bottom"/>
            <w:tcBorders>
              <w:bottom w:val="single" w:sz="8" w:color="auto"/>
            </w:tcBorders>
          </w:tcPr>
          <w:p>
            <w:pPr>
              <w:spacing w:after="0"/>
              <w:rPr>
                <w:sz w:val="20"/>
                <w:szCs w:val="20"/>
                <w:color w:val="auto"/>
              </w:rPr>
            </w:pPr>
          </w:p>
        </w:tc>
      </w:tr>
      <w:tr>
        <w:trPr>
          <w:trHeight w:val="204"/>
        </w:trPr>
        <w:tc>
          <w:tcPr>
            <w:tcW w:w="4360" w:type="dxa"/>
            <w:vAlign w:val="bottom"/>
            <w:tcBorders>
              <w:bottom w:val="single" w:sz="8" w:color="auto"/>
            </w:tcBorders>
          </w:tcPr>
          <w:p>
            <w:pPr>
              <w:ind w:left="160"/>
              <w:spacing w:after="0" w:line="204" w:lineRule="exact"/>
              <w:rPr>
                <w:sz w:val="20"/>
                <w:szCs w:val="20"/>
                <w:color w:val="auto"/>
              </w:rPr>
            </w:pPr>
            <w:r>
              <w:rPr>
                <w:rFonts w:ascii="Arial" w:cs="Arial" w:eastAsia="Arial" w:hAnsi="Arial"/>
                <w:sz w:val="18"/>
                <w:szCs w:val="18"/>
                <w:b w:val="1"/>
                <w:bCs w:val="1"/>
                <w:i w:val="1"/>
                <w:iCs w:val="1"/>
                <w:color w:val="auto"/>
              </w:rPr>
              <w:t>Class II - Term ending in 2026</w:t>
            </w:r>
          </w:p>
        </w:tc>
        <w:tc>
          <w:tcPr>
            <w:tcW w:w="15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tcPr>
          <w:p>
            <w:pPr>
              <w:spacing w:after="0"/>
              <w:rPr>
                <w:sz w:val="17"/>
                <w:szCs w:val="17"/>
                <w:color w:val="auto"/>
              </w:rPr>
            </w:pPr>
          </w:p>
        </w:tc>
      </w:tr>
      <w:tr>
        <w:trPr>
          <w:trHeight w:val="229"/>
        </w:trPr>
        <w:tc>
          <w:tcPr>
            <w:tcW w:w="43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Steven M. Yi*</w:t>
            </w:r>
          </w:p>
        </w:tc>
        <w:tc>
          <w:tcPr>
            <w:tcW w:w="1500" w:type="dxa"/>
            <w:vAlign w:val="bottom"/>
            <w:tcBorders>
              <w:bottom w:val="single" w:sz="8" w:color="auto"/>
            </w:tcBorders>
          </w:tcPr>
          <w:p>
            <w:pPr>
              <w:jc w:val="center"/>
              <w:ind w:left="169"/>
              <w:spacing w:after="0"/>
              <w:rPr>
                <w:sz w:val="20"/>
                <w:szCs w:val="20"/>
                <w:color w:val="auto"/>
              </w:rPr>
            </w:pPr>
            <w:r>
              <w:rPr>
                <w:rFonts w:ascii="Arial" w:cs="Arial" w:eastAsia="Arial" w:hAnsi="Arial"/>
                <w:sz w:val="18"/>
                <w:szCs w:val="18"/>
                <w:color w:val="auto"/>
                <w:w w:val="99"/>
              </w:rPr>
              <w:t>55</w:t>
            </w:r>
          </w:p>
        </w:tc>
        <w:tc>
          <w:tcPr>
            <w:tcW w:w="2340" w:type="dxa"/>
            <w:vAlign w:val="bottom"/>
            <w:tcBorders>
              <w:bottom w:val="single" w:sz="8" w:color="auto"/>
            </w:tcBorders>
          </w:tcPr>
          <w:p>
            <w:pPr>
              <w:jc w:val="center"/>
              <w:ind w:left="149"/>
              <w:spacing w:after="0"/>
              <w:rPr>
                <w:sz w:val="20"/>
                <w:szCs w:val="20"/>
                <w:color w:val="auto"/>
              </w:rPr>
            </w:pPr>
            <w:r>
              <w:rPr>
                <w:rFonts w:ascii="Arial" w:cs="Arial" w:eastAsia="Arial" w:hAnsi="Arial"/>
                <w:sz w:val="18"/>
                <w:szCs w:val="18"/>
                <w:color w:val="auto"/>
              </w:rPr>
              <w:t>2023</w:t>
            </w:r>
          </w:p>
        </w:tc>
        <w:tc>
          <w:tcPr>
            <w:tcW w:w="3040" w:type="dxa"/>
            <w:vAlign w:val="bottom"/>
            <w:tcBorders>
              <w:bottom w:val="single" w:sz="8" w:color="auto"/>
            </w:tcBorders>
          </w:tcPr>
          <w:p>
            <w:pPr>
              <w:spacing w:after="0"/>
              <w:rPr>
                <w:sz w:val="19"/>
                <w:szCs w:val="19"/>
                <w:color w:val="auto"/>
              </w:rPr>
            </w:pPr>
          </w:p>
        </w:tc>
      </w:tr>
      <w:tr>
        <w:trPr>
          <w:trHeight w:val="229"/>
        </w:trPr>
        <w:tc>
          <w:tcPr>
            <w:tcW w:w="43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i w:val="1"/>
                <w:iCs w:val="1"/>
                <w:color w:val="auto"/>
              </w:rPr>
              <w:t>Class III - Term ending in 2027</w:t>
            </w:r>
          </w:p>
        </w:tc>
        <w:tc>
          <w:tcPr>
            <w:tcW w:w="15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r>
      <w:tr>
        <w:trPr>
          <w:trHeight w:val="232"/>
        </w:trPr>
        <w:tc>
          <w:tcPr>
            <w:tcW w:w="4360" w:type="dxa"/>
            <w:vAlign w:val="bottom"/>
          </w:tcPr>
          <w:p>
            <w:pPr>
              <w:ind w:left="160"/>
              <w:spacing w:after="0"/>
              <w:rPr>
                <w:sz w:val="20"/>
                <w:szCs w:val="20"/>
                <w:color w:val="auto"/>
              </w:rPr>
            </w:pPr>
            <w:r>
              <w:rPr>
                <w:rFonts w:ascii="Arial" w:cs="Arial" w:eastAsia="Arial" w:hAnsi="Arial"/>
                <w:sz w:val="18"/>
                <w:szCs w:val="18"/>
                <w:color w:val="auto"/>
              </w:rPr>
              <w:t>Margaret Dillon</w:t>
            </w:r>
          </w:p>
        </w:tc>
        <w:tc>
          <w:tcPr>
            <w:tcW w:w="1500" w:type="dxa"/>
            <w:vAlign w:val="bottom"/>
          </w:tcPr>
          <w:p>
            <w:pPr>
              <w:jc w:val="center"/>
              <w:ind w:left="169"/>
              <w:spacing w:after="0"/>
              <w:rPr>
                <w:sz w:val="20"/>
                <w:szCs w:val="20"/>
                <w:color w:val="auto"/>
              </w:rPr>
            </w:pPr>
            <w:r>
              <w:rPr>
                <w:rFonts w:ascii="Arial" w:cs="Arial" w:eastAsia="Arial" w:hAnsi="Arial"/>
                <w:sz w:val="18"/>
                <w:szCs w:val="18"/>
                <w:color w:val="auto"/>
                <w:w w:val="99"/>
              </w:rPr>
              <w:t>66</w:t>
            </w:r>
          </w:p>
        </w:tc>
        <w:tc>
          <w:tcPr>
            <w:tcW w:w="2340" w:type="dxa"/>
            <w:vAlign w:val="bottom"/>
          </w:tcPr>
          <w:p>
            <w:pPr>
              <w:jc w:val="center"/>
              <w:ind w:left="149"/>
              <w:spacing w:after="0"/>
              <w:rPr>
                <w:sz w:val="20"/>
                <w:szCs w:val="20"/>
                <w:color w:val="auto"/>
              </w:rPr>
            </w:pPr>
            <w:r>
              <w:rPr>
                <w:rFonts w:ascii="Arial" w:cs="Arial" w:eastAsia="Arial" w:hAnsi="Arial"/>
                <w:sz w:val="18"/>
                <w:szCs w:val="18"/>
                <w:color w:val="auto"/>
              </w:rPr>
              <w:t>2021</w:t>
            </w:r>
          </w:p>
        </w:tc>
        <w:tc>
          <w:tcPr>
            <w:tcW w:w="3040" w:type="dxa"/>
            <w:vAlign w:val="bottom"/>
          </w:tcPr>
          <w:p>
            <w:pPr>
              <w:spacing w:after="0"/>
              <w:rPr>
                <w:sz w:val="20"/>
                <w:szCs w:val="20"/>
                <w:color w:val="auto"/>
              </w:rPr>
            </w:pPr>
          </w:p>
        </w:tc>
      </w:tr>
      <w:tr>
        <w:trPr>
          <w:trHeight w:val="236"/>
        </w:trPr>
        <w:tc>
          <w:tcPr>
            <w:tcW w:w="4360" w:type="dxa"/>
            <w:vAlign w:val="bottom"/>
          </w:tcPr>
          <w:p>
            <w:pPr>
              <w:ind w:left="160"/>
              <w:spacing w:after="0"/>
              <w:rPr>
                <w:sz w:val="20"/>
                <w:szCs w:val="20"/>
                <w:color w:val="auto"/>
              </w:rPr>
            </w:pPr>
            <w:r>
              <w:rPr>
                <w:rFonts w:ascii="Arial" w:cs="Arial" w:eastAsia="Arial" w:hAnsi="Arial"/>
                <w:sz w:val="18"/>
                <w:szCs w:val="18"/>
                <w:color w:val="auto"/>
              </w:rPr>
              <w:t>Philip A. Gelston</w:t>
            </w:r>
          </w:p>
        </w:tc>
        <w:tc>
          <w:tcPr>
            <w:tcW w:w="1500" w:type="dxa"/>
            <w:vAlign w:val="bottom"/>
          </w:tcPr>
          <w:p>
            <w:pPr>
              <w:jc w:val="center"/>
              <w:ind w:left="169"/>
              <w:spacing w:after="0"/>
              <w:rPr>
                <w:sz w:val="20"/>
                <w:szCs w:val="20"/>
                <w:color w:val="auto"/>
              </w:rPr>
            </w:pPr>
            <w:r>
              <w:rPr>
                <w:rFonts w:ascii="Arial" w:cs="Arial" w:eastAsia="Arial" w:hAnsi="Arial"/>
                <w:sz w:val="18"/>
                <w:szCs w:val="18"/>
                <w:color w:val="auto"/>
                <w:w w:val="99"/>
              </w:rPr>
              <w:t>73</w:t>
            </w:r>
          </w:p>
        </w:tc>
        <w:tc>
          <w:tcPr>
            <w:tcW w:w="2340" w:type="dxa"/>
            <w:vAlign w:val="bottom"/>
          </w:tcPr>
          <w:p>
            <w:pPr>
              <w:jc w:val="center"/>
              <w:ind w:left="149"/>
              <w:spacing w:after="0"/>
              <w:rPr>
                <w:sz w:val="20"/>
                <w:szCs w:val="20"/>
                <w:color w:val="auto"/>
              </w:rPr>
            </w:pPr>
            <w:r>
              <w:rPr>
                <w:rFonts w:ascii="Arial" w:cs="Arial" w:eastAsia="Arial" w:hAnsi="Arial"/>
                <w:sz w:val="18"/>
                <w:szCs w:val="18"/>
                <w:color w:val="auto"/>
              </w:rPr>
              <w:t>2018</w:t>
            </w:r>
          </w:p>
        </w:tc>
        <w:tc>
          <w:tcPr>
            <w:tcW w:w="3040" w:type="dxa"/>
            <w:vAlign w:val="bottom"/>
          </w:tcPr>
          <w:p>
            <w:pPr>
              <w:spacing w:after="0"/>
              <w:rPr>
                <w:sz w:val="20"/>
                <w:szCs w:val="20"/>
                <w:color w:val="auto"/>
              </w:rPr>
            </w:pPr>
          </w:p>
        </w:tc>
      </w:tr>
      <w:tr>
        <w:trPr>
          <w:trHeight w:val="233"/>
        </w:trPr>
        <w:tc>
          <w:tcPr>
            <w:tcW w:w="43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David A. Tanner</w:t>
            </w:r>
          </w:p>
        </w:tc>
        <w:tc>
          <w:tcPr>
            <w:tcW w:w="1500" w:type="dxa"/>
            <w:vAlign w:val="bottom"/>
            <w:tcBorders>
              <w:bottom w:val="single" w:sz="8" w:color="auto"/>
            </w:tcBorders>
          </w:tcPr>
          <w:p>
            <w:pPr>
              <w:jc w:val="center"/>
              <w:ind w:left="169"/>
              <w:spacing w:after="0"/>
              <w:rPr>
                <w:sz w:val="20"/>
                <w:szCs w:val="20"/>
                <w:color w:val="auto"/>
              </w:rPr>
            </w:pPr>
            <w:r>
              <w:rPr>
                <w:rFonts w:ascii="Arial" w:cs="Arial" w:eastAsia="Arial" w:hAnsi="Arial"/>
                <w:sz w:val="18"/>
                <w:szCs w:val="18"/>
                <w:color w:val="auto"/>
                <w:w w:val="99"/>
              </w:rPr>
              <w:t>67</w:t>
            </w:r>
          </w:p>
        </w:tc>
        <w:tc>
          <w:tcPr>
            <w:tcW w:w="2340" w:type="dxa"/>
            <w:vAlign w:val="bottom"/>
            <w:tcBorders>
              <w:bottom w:val="single" w:sz="8" w:color="auto"/>
            </w:tcBorders>
          </w:tcPr>
          <w:p>
            <w:pPr>
              <w:jc w:val="center"/>
              <w:ind w:left="149"/>
              <w:spacing w:after="0"/>
              <w:rPr>
                <w:sz w:val="20"/>
                <w:szCs w:val="20"/>
                <w:color w:val="auto"/>
              </w:rPr>
            </w:pPr>
            <w:r>
              <w:rPr>
                <w:rFonts w:ascii="Arial" w:cs="Arial" w:eastAsia="Arial" w:hAnsi="Arial"/>
                <w:sz w:val="18"/>
                <w:szCs w:val="18"/>
                <w:color w:val="auto"/>
              </w:rPr>
              <w:t>2018</w:t>
            </w:r>
          </w:p>
        </w:tc>
        <w:tc>
          <w:tcPr>
            <w:tcW w:w="3040" w:type="dxa"/>
            <w:vAlign w:val="bottom"/>
            <w:tcBorders>
              <w:bottom w:val="single" w:sz="8" w:color="auto"/>
            </w:tcBorders>
          </w:tcPr>
          <w:p>
            <w:pPr>
              <w:spacing w:after="0"/>
              <w:rPr>
                <w:sz w:val="20"/>
                <w:szCs w:val="20"/>
                <w:color w:val="auto"/>
              </w:rPr>
            </w:pPr>
          </w:p>
        </w:tc>
      </w:tr>
    </w:tbl>
    <w:p>
      <w:pPr>
        <w:spacing w:after="0" w:line="178" w:lineRule="exact"/>
        <w:rPr>
          <w:sz w:val="20"/>
          <w:szCs w:val="20"/>
          <w:color w:val="auto"/>
        </w:rPr>
      </w:pPr>
    </w:p>
    <w:p>
      <w:pPr>
        <w:ind w:left="5580" w:right="2380" w:hanging="5580"/>
        <w:spacing w:after="0" w:line="732" w:lineRule="auto"/>
        <w:tabs>
          <w:tab w:leader="none" w:pos="128"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standing for reelection at completion of current term, which ends as of the 2026 Annual General Meeting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-281940</wp:posOffset>
            </wp:positionV>
            <wp:extent cx="714311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14311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24130</wp:posOffset>
            </wp:positionV>
            <wp:extent cx="714311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120"/>
          </w:cols>
          <w:pgMar w:left="320" w:top="827" w:right="459" w:bottom="1440" w:gutter="0" w:footer="0" w:header="0"/>
        </w:sectPr>
      </w:pPr>
    </w:p>
    <w:p>
      <w:pPr>
        <w:spacing w:after="0" w:line="104"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The Company’s commitment to strong corporate governance, effective risk management and strong independent oversight of management by the Board is reflected in our sound governance practices and policies. Our governance highlights (assuming the election of our current slate of nominees) include:</w:t>
      </w:r>
    </w:p>
    <w:p>
      <w:pPr>
        <w:spacing w:after="0" w:line="60" w:lineRule="exact"/>
        <w:rPr>
          <w:sz w:val="20"/>
          <w:szCs w:val="20"/>
          <w:color w:val="auto"/>
        </w:rPr>
      </w:pPr>
    </w:p>
    <w:p>
      <w:pPr>
        <w:ind w:left="5580"/>
        <w:spacing w:after="0" w:line="207" w:lineRule="exact"/>
        <w:tabs>
          <w:tab w:leader="none" w:pos="5880" w:val="left"/>
        </w:tabs>
        <w:rPr>
          <w:sz w:val="20"/>
          <w:szCs w:val="20"/>
          <w:color w:val="auto"/>
        </w:rPr>
      </w:pPr>
      <w:r>
        <w:rPr>
          <w:rFonts w:ascii="MS PGothic" w:cs="MS PGothic" w:eastAsia="MS PGothic" w:hAnsi="MS PGothic"/>
          <w:sz w:val="18"/>
          <w:szCs w:val="18"/>
          <w:color w:val="00B050"/>
        </w:rPr>
        <w:t>✓</w:t>
      </w:r>
      <w:r>
        <w:rPr>
          <w:rFonts w:ascii="Arial" w:cs="Arial" w:eastAsia="Arial" w:hAnsi="Arial"/>
          <w:sz w:val="18"/>
          <w:szCs w:val="18"/>
          <w:color w:val="auto"/>
        </w:rPr>
        <w:tab/>
        <w:t>70% independent directors (7 out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-99695</wp:posOffset>
            </wp:positionV>
            <wp:extent cx="2023110" cy="25050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23110" cy="2505075"/>
                    </a:xfrm>
                    <a:prstGeom prst="rect">
                      <a:avLst/>
                    </a:prstGeom>
                    <a:noFill/>
                  </pic:spPr>
                </pic:pic>
              </a:graphicData>
            </a:graphic>
          </wp:anchor>
        </w:drawing>
      </w:r>
    </w:p>
    <w:p>
      <w:pPr>
        <w:spacing w:after="0" w:line="39" w:lineRule="exact"/>
        <w:rPr>
          <w:sz w:val="20"/>
          <w:szCs w:val="20"/>
          <w:color w:val="auto"/>
        </w:rPr>
      </w:pPr>
    </w:p>
    <w:p>
      <w:pPr>
        <w:ind w:left="5880" w:right="420" w:hanging="298"/>
        <w:spacing w:after="0" w:line="206" w:lineRule="exact"/>
        <w:tabs>
          <w:tab w:leader="none" w:pos="5860" w:val="left"/>
        </w:tabs>
        <w:rPr>
          <w:sz w:val="20"/>
          <w:szCs w:val="20"/>
          <w:color w:val="auto"/>
        </w:rPr>
      </w:pPr>
      <w:r>
        <w:rPr>
          <w:rFonts w:ascii="MS PGothic" w:cs="MS PGothic" w:eastAsia="MS PGothic" w:hAnsi="MS PGothic"/>
          <w:sz w:val="18"/>
          <w:szCs w:val="18"/>
          <w:color w:val="00B050"/>
        </w:rPr>
        <w:t>✓</w:t>
      </w:r>
      <w:r>
        <w:rPr>
          <w:rFonts w:ascii="Arial" w:cs="Arial" w:eastAsia="Arial" w:hAnsi="Arial"/>
          <w:sz w:val="18"/>
          <w:szCs w:val="18"/>
          <w:color w:val="auto"/>
        </w:rPr>
        <w:tab/>
        <w:t>Commitment to board refreshment (four new directors since 2023)</w:t>
      </w:r>
    </w:p>
    <w:p>
      <w:pPr>
        <w:ind w:left="5580"/>
        <w:spacing w:after="0" w:line="207" w:lineRule="exact"/>
        <w:tabs>
          <w:tab w:leader="none" w:pos="5880" w:val="left"/>
        </w:tabs>
        <w:rPr>
          <w:sz w:val="20"/>
          <w:szCs w:val="20"/>
          <w:color w:val="auto"/>
        </w:rPr>
      </w:pPr>
      <w:r>
        <w:rPr>
          <w:rFonts w:ascii="MS PGothic" w:cs="MS PGothic" w:eastAsia="MS PGothic" w:hAnsi="MS PGothic"/>
          <w:sz w:val="18"/>
          <w:szCs w:val="18"/>
          <w:color w:val="00B050"/>
        </w:rPr>
        <w:t>✓</w:t>
      </w:r>
      <w:r>
        <w:rPr>
          <w:rFonts w:ascii="Arial" w:cs="Arial" w:eastAsia="Arial" w:hAnsi="Arial"/>
          <w:sz w:val="18"/>
          <w:szCs w:val="18"/>
          <w:color w:val="auto"/>
        </w:rPr>
        <w:tab/>
        <w:t>Average board tenure is 4.6 years</w:t>
      </w:r>
    </w:p>
    <w:p>
      <w:pPr>
        <w:spacing w:after="0" w:line="9" w:lineRule="exact"/>
        <w:rPr>
          <w:sz w:val="20"/>
          <w:szCs w:val="20"/>
          <w:color w:val="auto"/>
        </w:rPr>
      </w:pPr>
    </w:p>
    <w:p>
      <w:pPr>
        <w:ind w:left="5580"/>
        <w:spacing w:after="0" w:line="207" w:lineRule="exact"/>
        <w:tabs>
          <w:tab w:leader="none" w:pos="5880" w:val="left"/>
        </w:tabs>
        <w:rPr>
          <w:sz w:val="20"/>
          <w:szCs w:val="20"/>
          <w:color w:val="auto"/>
        </w:rPr>
      </w:pPr>
      <w:r>
        <w:rPr>
          <w:rFonts w:ascii="MS PGothic" w:cs="MS PGothic" w:eastAsia="MS PGothic" w:hAnsi="MS PGothic"/>
          <w:sz w:val="18"/>
          <w:szCs w:val="18"/>
          <w:color w:val="00B050"/>
        </w:rPr>
        <w:t>✓</w:t>
      </w:r>
      <w:r>
        <w:rPr>
          <w:rFonts w:ascii="Arial" w:cs="Arial" w:eastAsia="Arial" w:hAnsi="Arial"/>
          <w:sz w:val="18"/>
          <w:szCs w:val="18"/>
          <w:color w:val="auto"/>
        </w:rPr>
        <w:tab/>
        <w:t>Independent Chairman</w:t>
      </w:r>
    </w:p>
    <w:p>
      <w:pPr>
        <w:ind w:left="5580"/>
        <w:spacing w:after="0" w:line="207" w:lineRule="exact"/>
        <w:tabs>
          <w:tab w:leader="none" w:pos="5880" w:val="left"/>
        </w:tabs>
        <w:rPr>
          <w:sz w:val="20"/>
          <w:szCs w:val="20"/>
          <w:color w:val="auto"/>
        </w:rPr>
      </w:pPr>
      <w:r>
        <w:rPr>
          <w:rFonts w:ascii="MS PGothic" w:cs="MS PGothic" w:eastAsia="MS PGothic" w:hAnsi="MS PGothic"/>
          <w:sz w:val="18"/>
          <w:szCs w:val="18"/>
          <w:color w:val="00B050"/>
        </w:rPr>
        <w:t>✓</w:t>
      </w:r>
      <w:r>
        <w:rPr>
          <w:rFonts w:ascii="Arial" w:cs="Arial" w:eastAsia="Arial" w:hAnsi="Arial"/>
          <w:sz w:val="18"/>
          <w:szCs w:val="18"/>
          <w:color w:val="auto"/>
        </w:rPr>
        <w:tab/>
        <w:t>30% gender and 20% racial/ethnic diversity</w:t>
      </w:r>
    </w:p>
    <w:p>
      <w:pPr>
        <w:spacing w:after="0" w:line="5" w:lineRule="exact"/>
        <w:rPr>
          <w:sz w:val="20"/>
          <w:szCs w:val="20"/>
          <w:color w:val="auto"/>
        </w:rPr>
      </w:pPr>
    </w:p>
    <w:p>
      <w:pPr>
        <w:ind w:left="5580" w:right="1180"/>
        <w:spacing w:after="0" w:line="212" w:lineRule="exact"/>
        <w:rPr>
          <w:sz w:val="20"/>
          <w:szCs w:val="20"/>
          <w:color w:val="auto"/>
        </w:rPr>
      </w:pPr>
      <w:r>
        <w:rPr>
          <w:rFonts w:ascii="MS PGothic" w:cs="MS PGothic" w:eastAsia="MS PGothic" w:hAnsi="MS PGothic"/>
          <w:sz w:val="18"/>
          <w:szCs w:val="18"/>
          <w:color w:val="00B050"/>
        </w:rPr>
        <w:t>✓</w:t>
      </w:r>
      <w:r>
        <w:rPr>
          <w:rFonts w:ascii="Arial" w:cs="Arial" w:eastAsia="Arial" w:hAnsi="Arial"/>
          <w:sz w:val="18"/>
          <w:szCs w:val="18"/>
          <w:color w:val="auto"/>
        </w:rPr>
        <w:t xml:space="preserve"> Shareholder right to call a Special Meeting at 10% </w:t>
      </w:r>
      <w:r>
        <w:rPr>
          <w:rFonts w:ascii="MS PGothic" w:cs="MS PGothic" w:eastAsia="MS PGothic" w:hAnsi="MS PGothic"/>
          <w:sz w:val="18"/>
          <w:szCs w:val="18"/>
          <w:color w:val="00B050"/>
        </w:rPr>
        <w:t>✓</w:t>
      </w:r>
      <w:r>
        <w:rPr>
          <w:rFonts w:ascii="Arial" w:cs="Arial" w:eastAsia="Arial" w:hAnsi="Arial"/>
          <w:sz w:val="18"/>
          <w:szCs w:val="18"/>
          <w:color w:val="auto"/>
        </w:rPr>
        <w:t xml:space="preserve"> Annual board and committee self-evaluations</w:t>
      </w:r>
    </w:p>
    <w:p>
      <w:pPr>
        <w:jc w:val="right"/>
        <w:ind w:left="5580"/>
        <w:spacing w:after="0" w:line="214" w:lineRule="exact"/>
        <w:rPr>
          <w:sz w:val="20"/>
          <w:szCs w:val="20"/>
          <w:color w:val="auto"/>
        </w:rPr>
      </w:pPr>
      <w:r>
        <w:rPr>
          <w:rFonts w:ascii="MS PGothic" w:cs="MS PGothic" w:eastAsia="MS PGothic" w:hAnsi="MS PGothic"/>
          <w:sz w:val="18"/>
          <w:szCs w:val="18"/>
          <w:color w:val="00B050"/>
        </w:rPr>
        <w:t>✓</w:t>
      </w:r>
      <w:r>
        <w:rPr>
          <w:rFonts w:ascii="Arial" w:cs="Arial" w:eastAsia="Arial" w:hAnsi="Arial"/>
          <w:sz w:val="18"/>
          <w:szCs w:val="18"/>
          <w:color w:val="auto"/>
        </w:rPr>
        <w:t xml:space="preserve"> Robust director and executive officer share ownership guidelines (5x cash retainer for directors and 10x salary for CEO and EVPs)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1298575</wp:posOffset>
            </wp:positionV>
            <wp:extent cx="6163310" cy="40297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63310" cy="4029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600" w:right="360"/>
        <w:spacing w:after="0" w:line="259" w:lineRule="auto"/>
        <w:rPr>
          <w:sz w:val="20"/>
          <w:szCs w:val="20"/>
          <w:color w:val="auto"/>
        </w:rPr>
      </w:pPr>
      <w:r>
        <w:rPr>
          <w:rFonts w:ascii="Arial" w:cs="Arial" w:eastAsia="Arial" w:hAnsi="Arial"/>
          <w:sz w:val="15"/>
          <w:szCs w:val="15"/>
          <w:color w:val="auto"/>
        </w:rPr>
        <w:t>Reflects Board composition and refreshment statistics if director nominees are elected at the 2026 Annual General Meeting. The lack of a checkmark for a particular item does not mean that the director does not possess that qualification, skill or experience, but rather the checkmark indicates that the item is a particularly prominent qualification, skill or experience that the director brings to the Board.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our corporate governance practices, please refer to page 18 of the proxy statement.</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120"/>
          </w:cols>
          <w:pgMar w:left="320" w:top="827" w:right="4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Shareholder Outreach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14311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24130</wp:posOffset>
            </wp:positionV>
            <wp:extent cx="714311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p>
      <w:pPr>
        <w:spacing w:after="0" w:line="117" w:lineRule="exact"/>
        <w:rPr>
          <w:sz w:val="20"/>
          <w:szCs w:val="20"/>
          <w:color w:val="auto"/>
        </w:rPr>
      </w:pPr>
    </w:p>
    <w:p>
      <w:pPr>
        <w:jc w:val="both"/>
        <w:ind w:right="740"/>
        <w:spacing w:after="0" w:line="250" w:lineRule="auto"/>
        <w:rPr>
          <w:sz w:val="20"/>
          <w:szCs w:val="20"/>
          <w:color w:val="auto"/>
        </w:rPr>
      </w:pPr>
      <w:r>
        <w:rPr>
          <w:rFonts w:ascii="Arial" w:cs="Arial" w:eastAsia="Arial" w:hAnsi="Arial"/>
          <w:sz w:val="18"/>
          <w:szCs w:val="18"/>
          <w:color w:val="auto"/>
        </w:rPr>
        <w:t>Shareholder engagement is of great importance to our Board and management team as a means to solicit feedback and to ensure accountability and responsiveness to our shareholders. Feedback from these discussions is shared with the Board each year. Our shareholder outreach highlights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108585</wp:posOffset>
            </wp:positionV>
            <wp:extent cx="6028690" cy="41243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28690" cy="412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For more information on our commitment to ongoing shareholder engagement and details of our 2025 shareholder outreach, please refer to page 18 of the proxy statement.</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14311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24130</wp:posOffset>
            </wp:positionV>
            <wp:extent cx="714311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policies are designed with the primary goal of creating superior growth in our values per share over long periods of time. We believe that this goal is best pursued by utilizing a pay-for-performance program that closely aligns the financial interests of management with those of the Company’s shareholders. As many of our subsidiaries are engaged in the business of insurance, we evaluate the executive compensation programs of a group of insurance company peers in terms of structure and variability of payouts in good and poor performance scenarios. However, unlike most of our insurance company peers, a primary responsibility of our parent company’s management is allocating capital and opportunistically finding and executing value-creating acquisitions and dispositions of operating businesses. Over the years, transaction gains have been a large driver of success in achieving our principal objective of growing our values per share. As a result, we believe benchmarking against the peer group could result in compensation that is not competitive for our talent pool. When recruiting and retaining talented professionals, we compete against firms whose main business is derived from transactional activity such as private equity and investment banking firms, and our compensation practices must reflect this reality.</w:t>
      </w:r>
    </w:p>
    <w:p>
      <w:pPr>
        <w:spacing w:after="0" w:line="319" w:lineRule="exact"/>
        <w:rPr>
          <w:sz w:val="20"/>
          <w:szCs w:val="20"/>
          <w:color w:val="auto"/>
        </w:rPr>
      </w:pPr>
    </w:p>
    <w:p>
      <w:pPr>
        <w:jc w:val="both"/>
        <w:ind w:right="640"/>
        <w:spacing w:after="0" w:line="250" w:lineRule="auto"/>
        <w:rPr>
          <w:sz w:val="20"/>
          <w:szCs w:val="20"/>
          <w:color w:val="auto"/>
        </w:rPr>
      </w:pPr>
      <w:r>
        <w:rPr>
          <w:rFonts w:ascii="Arial" w:cs="Arial" w:eastAsia="Arial" w:hAnsi="Arial"/>
          <w:sz w:val="18"/>
          <w:szCs w:val="18"/>
          <w:color w:val="auto"/>
        </w:rPr>
        <w:t>The Compensation/Nominating &amp; Governance Committee is committed to ensuring that our executive compensation programs and governance practices motivate long-term value creation, align the financial interests of management with those of our shareholders, maintain competitiveness in the market for talent, and encourage appropriate, but not excessive, risk-taking.</w:t>
      </w:r>
    </w:p>
    <w:p>
      <w:pPr>
        <w:spacing w:after="0" w:line="162"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FFFFFF"/>
        </w:rPr>
        <w:t>Key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6921500" cy="16275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21500" cy="16275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2"/>
        </w:trPr>
        <w:tc>
          <w:tcPr>
            <w:tcW w:w="5900" w:type="dxa"/>
            <w:vAlign w:val="bottom"/>
            <w:tcBorders>
              <w:top w:val="single" w:sz="8" w:color="auto"/>
              <w:bottom w:val="single" w:sz="8" w:color="auto"/>
              <w:right w:val="single" w:sz="8" w:color="auto"/>
            </w:tcBorders>
            <w:shd w:val="clear" w:color="auto" w:fill="BDD6EE"/>
          </w:tcPr>
          <w:p>
            <w:pPr>
              <w:ind w:left="2440"/>
              <w:spacing w:after="0" w:line="192" w:lineRule="exact"/>
              <w:rPr>
                <w:sz w:val="20"/>
                <w:szCs w:val="20"/>
                <w:color w:val="auto"/>
              </w:rPr>
            </w:pPr>
            <w:r>
              <w:rPr>
                <w:rFonts w:ascii="Arial" w:cs="Arial" w:eastAsia="Arial" w:hAnsi="Arial"/>
                <w:sz w:val="18"/>
                <w:szCs w:val="18"/>
                <w:color w:val="auto"/>
              </w:rPr>
              <w:t>What We Do</w:t>
            </w:r>
          </w:p>
        </w:tc>
        <w:tc>
          <w:tcPr>
            <w:tcW w:w="4980" w:type="dxa"/>
            <w:vAlign w:val="bottom"/>
            <w:tcBorders>
              <w:top w:val="single" w:sz="8" w:color="auto"/>
              <w:bottom w:val="single" w:sz="8" w:color="auto"/>
            </w:tcBorders>
            <w:shd w:val="clear" w:color="auto" w:fill="BDD6EE"/>
          </w:tcPr>
          <w:p>
            <w:pPr>
              <w:ind w:left="1660"/>
              <w:spacing w:after="0" w:line="192" w:lineRule="exact"/>
              <w:rPr>
                <w:sz w:val="20"/>
                <w:szCs w:val="20"/>
                <w:color w:val="auto"/>
              </w:rPr>
            </w:pPr>
            <w:r>
              <w:rPr>
                <w:rFonts w:ascii="Arial" w:cs="Arial" w:eastAsia="Arial" w:hAnsi="Arial"/>
                <w:sz w:val="18"/>
                <w:szCs w:val="18"/>
                <w:color w:val="auto"/>
              </w:rPr>
              <w:t>What We Do Not Do</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5900" w:type="dxa"/>
            <w:vAlign w:val="bottom"/>
            <w:tcBorders>
              <w:right w:val="single" w:sz="8" w:color="auto"/>
            </w:tcBorders>
          </w:tcPr>
          <w:p>
            <w:pPr>
              <w:ind w:left="280"/>
              <w:spacing w:after="0" w:line="196" w:lineRule="exact"/>
              <w:rPr>
                <w:sz w:val="20"/>
                <w:szCs w:val="20"/>
                <w:color w:val="auto"/>
              </w:rPr>
            </w:pPr>
            <w:r>
              <w:rPr>
                <w:rFonts w:ascii="MS PGothic" w:cs="MS PGothic" w:eastAsia="MS PGothic" w:hAnsi="MS PGothic"/>
                <w:sz w:val="17"/>
                <w:szCs w:val="17"/>
                <w:color w:val="00B050"/>
              </w:rPr>
              <w:t>✓</w:t>
            </w:r>
            <w:r>
              <w:rPr>
                <w:rFonts w:ascii="Arial" w:cs="Arial" w:eastAsia="Arial" w:hAnsi="Arial"/>
                <w:sz w:val="17"/>
                <w:szCs w:val="17"/>
                <w:color w:val="auto"/>
              </w:rPr>
              <w:t>    </w:t>
            </w:r>
            <w:r>
              <w:rPr>
                <w:rFonts w:ascii="Arial" w:cs="Arial" w:eastAsia="Arial" w:hAnsi="Arial"/>
                <w:sz w:val="17"/>
                <w:szCs w:val="17"/>
                <w:b w:val="1"/>
                <w:bCs w:val="1"/>
                <w:color w:val="auto"/>
              </w:rPr>
              <w:t>Commitment to pay for performance</w:t>
            </w:r>
            <w:r>
              <w:rPr>
                <w:rFonts w:ascii="Arial" w:cs="Arial" w:eastAsia="Arial" w:hAnsi="Arial"/>
                <w:sz w:val="17"/>
                <w:szCs w:val="17"/>
                <w:color w:val="auto"/>
              </w:rPr>
              <w:t xml:space="preserve"> as evidenced by 92% of total</w:t>
            </w:r>
          </w:p>
        </w:tc>
        <w:tc>
          <w:tcPr>
            <w:tcW w:w="4980" w:type="dxa"/>
            <w:vAlign w:val="bottom"/>
          </w:tcPr>
          <w:p>
            <w:pPr>
              <w:ind w:left="260"/>
              <w:spacing w:after="0"/>
              <w:rPr>
                <w:sz w:val="20"/>
                <w:szCs w:val="20"/>
                <w:color w:val="auto"/>
              </w:rPr>
            </w:pPr>
            <w:r>
              <w:rPr>
                <w:rFonts w:ascii="Wingdings" w:cs="Wingdings" w:eastAsia="Wingdings" w:hAnsi="Wingdings"/>
                <w:sz w:val="18"/>
                <w:szCs w:val="18"/>
                <w:b w:val="1"/>
                <w:bCs w:val="1"/>
                <w:color w:val="FF0000"/>
              </w:rPr>
              <w:t>û</w:t>
            </w:r>
            <w:r>
              <w:rPr>
                <w:rFonts w:ascii="Arial" w:cs="Arial" w:eastAsia="Arial" w:hAnsi="Arial"/>
                <w:sz w:val="16"/>
                <w:szCs w:val="16"/>
                <w:color w:val="000000"/>
              </w:rPr>
              <w:t>     No hedging of Company securities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900" w:type="dxa"/>
            <w:vAlign w:val="bottom"/>
            <w:tcBorders>
              <w:right w:val="single" w:sz="8" w:color="auto"/>
            </w:tcBorders>
          </w:tcPr>
          <w:p>
            <w:pPr>
              <w:ind w:left="580"/>
              <w:spacing w:after="0" w:line="191" w:lineRule="exact"/>
              <w:rPr>
                <w:sz w:val="20"/>
                <w:szCs w:val="20"/>
                <w:color w:val="auto"/>
              </w:rPr>
            </w:pPr>
            <w:r>
              <w:rPr>
                <w:rFonts w:ascii="Arial" w:cs="Arial" w:eastAsia="Arial" w:hAnsi="Arial"/>
                <w:sz w:val="17"/>
                <w:szCs w:val="17"/>
                <w:color w:val="auto"/>
              </w:rPr>
              <w:t>target 2025 CEO compensation meaningfully “at risk”</w:t>
            </w:r>
          </w:p>
        </w:tc>
        <w:tc>
          <w:tcPr>
            <w:tcW w:w="4980" w:type="dxa"/>
            <w:vAlign w:val="bottom"/>
          </w:tcPr>
          <w:p>
            <w:pPr>
              <w:ind w:left="260"/>
              <w:spacing w:after="0" w:line="191" w:lineRule="exact"/>
              <w:rPr>
                <w:sz w:val="20"/>
                <w:szCs w:val="20"/>
                <w:color w:val="auto"/>
              </w:rPr>
            </w:pPr>
            <w:r>
              <w:rPr>
                <w:rFonts w:ascii="Wingdings" w:cs="Wingdings" w:eastAsia="Wingdings" w:hAnsi="Wingdings"/>
                <w:sz w:val="18"/>
                <w:szCs w:val="18"/>
                <w:b w:val="1"/>
                <w:bCs w:val="1"/>
                <w:color w:val="FF0000"/>
              </w:rPr>
              <w:t>û</w:t>
            </w:r>
            <w:r>
              <w:rPr>
                <w:rFonts w:ascii="Arial" w:cs="Arial" w:eastAsia="Arial" w:hAnsi="Arial"/>
                <w:sz w:val="16"/>
                <w:szCs w:val="16"/>
                <w:color w:val="000000"/>
              </w:rPr>
              <w:t>     No executive pensions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900" w:type="dxa"/>
            <w:vAlign w:val="bottom"/>
            <w:tcBorders>
              <w:right w:val="single" w:sz="8" w:color="auto"/>
            </w:tcBorders>
          </w:tcPr>
          <w:p>
            <w:pPr>
              <w:ind w:left="280"/>
              <w:spacing w:after="0" w:line="196" w:lineRule="exact"/>
              <w:rPr>
                <w:sz w:val="20"/>
                <w:szCs w:val="20"/>
                <w:color w:val="auto"/>
              </w:rPr>
            </w:pPr>
            <w:r>
              <w:rPr>
                <w:rFonts w:ascii="MS PGothic" w:cs="MS PGothic" w:eastAsia="MS PGothic" w:hAnsi="MS PGothic"/>
                <w:sz w:val="17"/>
                <w:szCs w:val="17"/>
                <w:color w:val="00B050"/>
              </w:rPr>
              <w:t>✓</w:t>
            </w:r>
            <w:r>
              <w:rPr>
                <w:rFonts w:ascii="Arial" w:cs="Arial" w:eastAsia="Arial" w:hAnsi="Arial"/>
                <w:sz w:val="17"/>
                <w:szCs w:val="17"/>
                <w:color w:val="auto"/>
              </w:rPr>
              <w:t>    </w:t>
            </w:r>
            <w:r>
              <w:rPr>
                <w:rFonts w:ascii="Arial" w:cs="Arial" w:eastAsia="Arial" w:hAnsi="Arial"/>
                <w:sz w:val="17"/>
                <w:szCs w:val="17"/>
                <w:b w:val="1"/>
                <w:bCs w:val="1"/>
                <w:color w:val="auto"/>
              </w:rPr>
              <w:t>Half of annual LTI delivered in performance-based equity</w:t>
            </w:r>
            <w:r>
              <w:rPr>
                <w:rFonts w:ascii="Arial" w:cs="Arial" w:eastAsia="Arial" w:hAnsi="Arial"/>
                <w:sz w:val="17"/>
                <w:szCs w:val="17"/>
                <w:color w:val="auto"/>
              </w:rPr>
              <w:t>, with a</w:t>
            </w:r>
          </w:p>
        </w:tc>
        <w:tc>
          <w:tcPr>
            <w:tcW w:w="4980" w:type="dxa"/>
            <w:vAlign w:val="bottom"/>
          </w:tcPr>
          <w:p>
            <w:pPr>
              <w:ind w:left="260"/>
              <w:spacing w:after="0"/>
              <w:rPr>
                <w:sz w:val="20"/>
                <w:szCs w:val="20"/>
                <w:color w:val="auto"/>
              </w:rPr>
            </w:pPr>
            <w:r>
              <w:rPr>
                <w:rFonts w:ascii="Wingdings" w:cs="Wingdings" w:eastAsia="Wingdings" w:hAnsi="Wingdings"/>
                <w:sz w:val="18"/>
                <w:szCs w:val="18"/>
                <w:b w:val="1"/>
                <w:bCs w:val="1"/>
                <w:color w:val="FF0000"/>
              </w:rPr>
              <w:t>û</w:t>
            </w:r>
            <w:r>
              <w:rPr>
                <w:rFonts w:ascii="Arial" w:cs="Arial" w:eastAsia="Arial" w:hAnsi="Arial"/>
                <w:sz w:val="16"/>
                <w:szCs w:val="16"/>
                <w:color w:val="000000"/>
              </w:rPr>
              <w:t>     No single-trigger vesting of equity-based awards upon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900" w:type="dxa"/>
            <w:vAlign w:val="bottom"/>
            <w:tcBorders>
              <w:right w:val="single" w:sz="8" w:color="auto"/>
            </w:tcBorders>
          </w:tcPr>
          <w:p>
            <w:pPr>
              <w:ind w:left="580"/>
              <w:spacing w:after="0" w:line="187" w:lineRule="exact"/>
              <w:rPr>
                <w:sz w:val="20"/>
                <w:szCs w:val="20"/>
                <w:color w:val="auto"/>
              </w:rPr>
            </w:pPr>
            <w:r>
              <w:rPr>
                <w:rFonts w:ascii="Arial" w:cs="Arial" w:eastAsia="Arial" w:hAnsi="Arial"/>
                <w:sz w:val="17"/>
                <w:szCs w:val="17"/>
                <w:color w:val="auto"/>
              </w:rPr>
              <w:t>three-year measurement period</w:t>
            </w:r>
          </w:p>
        </w:tc>
        <w:tc>
          <w:tcPr>
            <w:tcW w:w="4980" w:type="dxa"/>
            <w:vAlign w:val="bottom"/>
          </w:tcPr>
          <w:p>
            <w:pPr>
              <w:ind w:left="560"/>
              <w:spacing w:after="0" w:line="187" w:lineRule="exact"/>
              <w:rPr>
                <w:sz w:val="20"/>
                <w:szCs w:val="20"/>
                <w:color w:val="auto"/>
              </w:rPr>
            </w:pPr>
            <w:r>
              <w:rPr>
                <w:rFonts w:ascii="Arial" w:cs="Arial" w:eastAsia="Arial" w:hAnsi="Arial"/>
                <w:sz w:val="17"/>
                <w:szCs w:val="17"/>
                <w:color w:val="auto"/>
              </w:rPr>
              <w:t>change-in-control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900" w:type="dxa"/>
            <w:vAlign w:val="bottom"/>
            <w:tcBorders>
              <w:right w:val="single" w:sz="8" w:color="auto"/>
            </w:tcBorders>
          </w:tcPr>
          <w:p>
            <w:pPr>
              <w:ind w:left="280"/>
              <w:spacing w:after="0" w:line="196" w:lineRule="exact"/>
              <w:rPr>
                <w:sz w:val="20"/>
                <w:szCs w:val="20"/>
                <w:color w:val="auto"/>
              </w:rPr>
            </w:pPr>
            <w:r>
              <w:rPr>
                <w:rFonts w:ascii="MS PGothic" w:cs="MS PGothic" w:eastAsia="MS PGothic" w:hAnsi="MS PGothic"/>
                <w:sz w:val="17"/>
                <w:szCs w:val="17"/>
                <w:color w:val="00B050"/>
              </w:rPr>
              <w:t>✓</w:t>
            </w:r>
            <w:r>
              <w:rPr>
                <w:rFonts w:ascii="Arial" w:cs="Arial" w:eastAsia="Arial" w:hAnsi="Arial"/>
                <w:sz w:val="17"/>
                <w:szCs w:val="17"/>
                <w:color w:val="auto"/>
              </w:rPr>
              <w:t>    Formulaic annual incentive program, based on pre-determined goals</w:t>
            </w:r>
          </w:p>
        </w:tc>
        <w:tc>
          <w:tcPr>
            <w:tcW w:w="4980" w:type="dxa"/>
            <w:vAlign w:val="bottom"/>
          </w:tcPr>
          <w:p>
            <w:pPr>
              <w:ind w:left="260"/>
              <w:spacing w:after="0"/>
              <w:rPr>
                <w:sz w:val="20"/>
                <w:szCs w:val="20"/>
                <w:color w:val="auto"/>
              </w:rPr>
            </w:pPr>
            <w:r>
              <w:rPr>
                <w:rFonts w:ascii="Wingdings" w:cs="Wingdings" w:eastAsia="Wingdings" w:hAnsi="Wingdings"/>
                <w:sz w:val="18"/>
                <w:szCs w:val="18"/>
                <w:b w:val="1"/>
                <w:bCs w:val="1"/>
                <w:color w:val="FF0000"/>
              </w:rPr>
              <w:t>û</w:t>
            </w:r>
            <w:r>
              <w:rPr>
                <w:rFonts w:ascii="Arial" w:cs="Arial" w:eastAsia="Arial" w:hAnsi="Arial"/>
                <w:sz w:val="16"/>
                <w:szCs w:val="16"/>
                <w:color w:val="000000"/>
              </w:rPr>
              <w:t>     No excise tax gross-ups upon change-in-control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900" w:type="dxa"/>
            <w:vAlign w:val="bottom"/>
            <w:tcBorders>
              <w:right w:val="single" w:sz="8" w:color="auto"/>
            </w:tcBorders>
          </w:tcPr>
          <w:p>
            <w:pPr>
              <w:ind w:left="280"/>
              <w:spacing w:after="0" w:line="196" w:lineRule="exact"/>
              <w:rPr>
                <w:sz w:val="20"/>
                <w:szCs w:val="20"/>
                <w:color w:val="auto"/>
              </w:rPr>
            </w:pPr>
            <w:r>
              <w:rPr>
                <w:rFonts w:ascii="MS PGothic" w:cs="MS PGothic" w:eastAsia="MS PGothic" w:hAnsi="MS PGothic"/>
                <w:sz w:val="17"/>
                <w:szCs w:val="17"/>
                <w:color w:val="00B050"/>
              </w:rPr>
              <w:t>✓</w:t>
            </w:r>
            <w:r>
              <w:rPr>
                <w:rFonts w:ascii="Arial" w:cs="Arial" w:eastAsia="Arial" w:hAnsi="Arial"/>
                <w:sz w:val="17"/>
                <w:szCs w:val="17"/>
                <w:color w:val="auto"/>
              </w:rPr>
              <w:t>    Clawback policy for annual and long-term incentive plans</w:t>
            </w:r>
          </w:p>
        </w:tc>
        <w:tc>
          <w:tcPr>
            <w:tcW w:w="4980" w:type="dxa"/>
            <w:vAlign w:val="bottom"/>
          </w:tcPr>
          <w:p>
            <w:pPr>
              <w:ind w:left="260"/>
              <w:spacing w:after="0"/>
              <w:rPr>
                <w:sz w:val="20"/>
                <w:szCs w:val="20"/>
                <w:color w:val="auto"/>
              </w:rPr>
            </w:pPr>
            <w:r>
              <w:rPr>
                <w:rFonts w:ascii="Wingdings" w:cs="Wingdings" w:eastAsia="Wingdings" w:hAnsi="Wingdings"/>
                <w:sz w:val="18"/>
                <w:szCs w:val="18"/>
                <w:b w:val="1"/>
                <w:bCs w:val="1"/>
                <w:color w:val="FF0000"/>
              </w:rPr>
              <w:t>û</w:t>
            </w:r>
            <w:r>
              <w:rPr>
                <w:rFonts w:ascii="Arial" w:cs="Arial" w:eastAsia="Arial" w:hAnsi="Arial"/>
                <w:sz w:val="16"/>
                <w:szCs w:val="16"/>
                <w:color w:val="000000"/>
              </w:rPr>
              <w:t>     No dividends on unvested performance shares or restricted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5900" w:type="dxa"/>
            <w:vAlign w:val="bottom"/>
            <w:tcBorders>
              <w:right w:val="single" w:sz="8" w:color="auto"/>
            </w:tcBorders>
          </w:tcPr>
          <w:p>
            <w:pPr>
              <w:ind w:left="280"/>
              <w:spacing w:after="0" w:line="157" w:lineRule="exact"/>
              <w:rPr>
                <w:sz w:val="20"/>
                <w:szCs w:val="20"/>
                <w:color w:val="auto"/>
              </w:rPr>
            </w:pPr>
            <w:r>
              <w:rPr>
                <w:rFonts w:ascii="MS PGothic" w:cs="MS PGothic" w:eastAsia="MS PGothic" w:hAnsi="MS PGothic"/>
                <w:sz w:val="17"/>
                <w:szCs w:val="17"/>
                <w:color w:val="00B050"/>
              </w:rPr>
              <w:t>✓</w:t>
            </w:r>
            <w:r>
              <w:rPr>
                <w:rFonts w:ascii="Arial" w:cs="Arial" w:eastAsia="Arial" w:hAnsi="Arial"/>
                <w:sz w:val="17"/>
                <w:szCs w:val="17"/>
                <w:color w:val="auto"/>
              </w:rPr>
              <w:t>    Double-trigger change-in-control provisions</w:t>
            </w:r>
          </w:p>
        </w:tc>
        <w:tc>
          <w:tcPr>
            <w:tcW w:w="4980" w:type="dxa"/>
            <w:vAlign w:val="bottom"/>
          </w:tcPr>
          <w:p>
            <w:pPr>
              <w:ind w:left="560"/>
              <w:spacing w:after="0" w:line="157" w:lineRule="exact"/>
              <w:rPr>
                <w:sz w:val="20"/>
                <w:szCs w:val="20"/>
                <w:color w:val="auto"/>
              </w:rPr>
            </w:pPr>
            <w:r>
              <w:rPr>
                <w:rFonts w:ascii="Arial" w:cs="Arial" w:eastAsia="Arial" w:hAnsi="Arial"/>
                <w:sz w:val="17"/>
                <w:szCs w:val="17"/>
                <w:color w:val="auto"/>
              </w:rPr>
              <w:t>shares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900" w:type="dxa"/>
            <w:vAlign w:val="bottom"/>
            <w:tcBorders>
              <w:right w:val="single" w:sz="8" w:color="auto"/>
            </w:tcBorders>
          </w:tcPr>
          <w:p>
            <w:pPr>
              <w:ind w:left="280"/>
              <w:spacing w:after="0" w:line="196" w:lineRule="exact"/>
              <w:rPr>
                <w:sz w:val="20"/>
                <w:szCs w:val="20"/>
                <w:color w:val="auto"/>
              </w:rPr>
            </w:pPr>
            <w:r>
              <w:rPr>
                <w:rFonts w:ascii="MS PGothic" w:cs="MS PGothic" w:eastAsia="MS PGothic" w:hAnsi="MS PGothic"/>
                <w:sz w:val="17"/>
                <w:szCs w:val="17"/>
                <w:color w:val="00B050"/>
              </w:rPr>
              <w:t>✓</w:t>
            </w:r>
            <w:r>
              <w:rPr>
                <w:rFonts w:ascii="Arial" w:cs="Arial" w:eastAsia="Arial" w:hAnsi="Arial"/>
                <w:sz w:val="17"/>
                <w:szCs w:val="17"/>
                <w:color w:val="auto"/>
              </w:rPr>
              <w:t>    Annual Say-On-Pay vote</w:t>
            </w:r>
          </w:p>
        </w:tc>
        <w:tc>
          <w:tcPr>
            <w:tcW w:w="4980" w:type="dxa"/>
            <w:vAlign w:val="bottom"/>
          </w:tcPr>
          <w:p>
            <w:pPr>
              <w:ind w:left="260"/>
              <w:spacing w:after="0"/>
              <w:rPr>
                <w:sz w:val="20"/>
                <w:szCs w:val="20"/>
                <w:color w:val="auto"/>
              </w:rPr>
            </w:pPr>
            <w:r>
              <w:rPr>
                <w:rFonts w:ascii="Wingdings" w:cs="Wingdings" w:eastAsia="Wingdings" w:hAnsi="Wingdings"/>
                <w:sz w:val="18"/>
                <w:szCs w:val="18"/>
                <w:b w:val="1"/>
                <w:bCs w:val="1"/>
                <w:color w:val="FF0000"/>
              </w:rPr>
              <w:t>û</w:t>
            </w:r>
            <w:r>
              <w:rPr>
                <w:rFonts w:ascii="Arial" w:cs="Arial" w:eastAsia="Arial" w:hAnsi="Arial"/>
                <w:sz w:val="16"/>
                <w:szCs w:val="16"/>
                <w:color w:val="000000"/>
              </w:rPr>
              <w:t>     No long-term employment agreements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5900" w:type="dxa"/>
            <w:vAlign w:val="bottom"/>
            <w:tcBorders>
              <w:right w:val="single" w:sz="8" w:color="auto"/>
            </w:tcBorders>
          </w:tcPr>
          <w:p>
            <w:pPr>
              <w:ind w:left="280"/>
              <w:spacing w:after="0" w:line="196" w:lineRule="exact"/>
              <w:rPr>
                <w:sz w:val="20"/>
                <w:szCs w:val="20"/>
                <w:color w:val="auto"/>
              </w:rPr>
            </w:pPr>
            <w:r>
              <w:rPr>
                <w:rFonts w:ascii="MS PGothic" w:cs="MS PGothic" w:eastAsia="MS PGothic" w:hAnsi="MS PGothic"/>
                <w:sz w:val="17"/>
                <w:szCs w:val="17"/>
                <w:color w:val="00B050"/>
              </w:rPr>
              <w:t>✓</w:t>
            </w:r>
            <w:r>
              <w:rPr>
                <w:rFonts w:ascii="Arial" w:cs="Arial" w:eastAsia="Arial" w:hAnsi="Arial"/>
                <w:sz w:val="17"/>
                <w:szCs w:val="17"/>
                <w:color w:val="auto"/>
              </w:rPr>
              <w:t>    Share ownership guidelines for executive officers and directors</w:t>
            </w:r>
          </w:p>
        </w:tc>
        <w:tc>
          <w:tcPr>
            <w:tcW w:w="4980" w:type="dxa"/>
            <w:vAlign w:val="bottom"/>
            <w:vMerge w:val="restart"/>
          </w:tcPr>
          <w:p>
            <w:pPr>
              <w:ind w:left="260"/>
              <w:spacing w:after="0"/>
              <w:rPr>
                <w:sz w:val="20"/>
                <w:szCs w:val="20"/>
                <w:color w:val="auto"/>
              </w:rPr>
            </w:pPr>
            <w:r>
              <w:rPr>
                <w:rFonts w:ascii="Wingdings" w:cs="Wingdings" w:eastAsia="Wingdings" w:hAnsi="Wingdings"/>
                <w:sz w:val="18"/>
                <w:szCs w:val="18"/>
                <w:b w:val="1"/>
                <w:bCs w:val="1"/>
                <w:color w:val="FF0000"/>
              </w:rPr>
              <w:t>û</w:t>
            </w:r>
            <w:r>
              <w:rPr>
                <w:rFonts w:ascii="Arial" w:cs="Arial" w:eastAsia="Arial" w:hAnsi="Arial"/>
                <w:sz w:val="16"/>
                <w:szCs w:val="16"/>
                <w:color w:val="000000"/>
              </w:rPr>
              <w:t>     No excessive perquisites or benefits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5900" w:type="dxa"/>
            <w:vAlign w:val="bottom"/>
            <w:tcBorders>
              <w:right w:val="single" w:sz="8" w:color="auto"/>
            </w:tcBorders>
          </w:tcPr>
          <w:p>
            <w:pPr>
              <w:spacing w:after="0"/>
              <w:rPr>
                <w:sz w:val="4"/>
                <w:szCs w:val="4"/>
                <w:color w:val="auto"/>
              </w:rPr>
            </w:pPr>
          </w:p>
        </w:tc>
        <w:tc>
          <w:tcPr>
            <w:tcW w:w="49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5900" w:type="dxa"/>
            <w:vAlign w:val="bottom"/>
            <w:tcBorders>
              <w:bottom w:val="single" w:sz="8" w:color="auto"/>
              <w:right w:val="single" w:sz="8" w:color="auto"/>
            </w:tcBorders>
          </w:tcPr>
          <w:p>
            <w:pPr>
              <w:spacing w:after="0"/>
              <w:rPr>
                <w:sz w:val="12"/>
                <w:szCs w:val="12"/>
                <w:color w:val="auto"/>
              </w:rPr>
            </w:pPr>
          </w:p>
        </w:tc>
        <w:tc>
          <w:tcPr>
            <w:tcW w:w="49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r>
        <w:rPr>
          <w:rFonts w:ascii="Arial" w:cs="Arial" w:eastAsia="Arial" w:hAnsi="Arial"/>
          <w:sz w:val="30"/>
          <w:szCs w:val="30"/>
          <w:i w:val="1"/>
          <w:iCs w:val="1"/>
          <w:color w:val="auto"/>
          <w:vertAlign w:val="superscript"/>
        </w:rPr>
        <w:t>1</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66675</wp:posOffset>
            </wp:positionV>
            <wp:extent cx="6005195" cy="6242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05195" cy="62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60" w:hanging="111"/>
        <w:spacing w:after="0"/>
        <w:tabs>
          <w:tab w:leader="none" w:pos="260"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Does not sum to 100% due to rounding.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Named Executive Officers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125730</wp:posOffset>
            </wp:positionV>
            <wp:extent cx="5973445" cy="6165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73445" cy="61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specifics of our compensation program begin on page 28 of the proxy statement.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Environmental, Social and Governance Practices and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14311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24130</wp:posOffset>
            </wp:positionV>
            <wp:extent cx="714311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20"/>
          </w:cols>
          <w:pgMar w:left="320" w:top="827" w:right="359" w:bottom="1440" w:gutter="0" w:footer="0" w:header="0"/>
        </w:sectPr>
      </w:pPr>
    </w:p>
    <w:p>
      <w:pPr>
        <w:spacing w:after="0" w:line="141" w:lineRule="exact"/>
        <w:rPr>
          <w:sz w:val="20"/>
          <w:szCs w:val="20"/>
          <w:color w:val="auto"/>
        </w:rPr>
      </w:pPr>
    </w:p>
    <w:p>
      <w:pPr>
        <w:jc w:val="both"/>
        <w:ind w:right="100"/>
        <w:spacing w:after="0" w:line="250" w:lineRule="auto"/>
        <w:rPr>
          <w:sz w:val="20"/>
          <w:szCs w:val="20"/>
          <w:color w:val="auto"/>
        </w:rPr>
      </w:pPr>
      <w:r>
        <w:rPr>
          <w:rFonts w:ascii="Arial" w:cs="Arial" w:eastAsia="Arial" w:hAnsi="Arial"/>
          <w:sz w:val="18"/>
          <w:szCs w:val="18"/>
          <w:color w:val="auto"/>
        </w:rPr>
        <w:t>White Mountains’s Board and management are committed to sustainability and corporate responsibility as stewards of our owners’ capital. With the Board’s oversight, we have identified ESG priorities that align with both our Company’s business strategy as well as industry and investor expectations, as outlined below:</w:t>
      </w:r>
    </w:p>
    <w:p>
      <w:pPr>
        <w:spacing w:after="0" w:line="150" w:lineRule="exact"/>
        <w:rPr>
          <w:sz w:val="20"/>
          <w:szCs w:val="20"/>
          <w:color w:val="auto"/>
        </w:rPr>
      </w:pPr>
    </w:p>
    <w:p>
      <w:pPr>
        <w:ind w:left="600" w:hanging="302"/>
        <w:spacing w:after="0" w:line="270"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ESG in our Investment Policy: </w:t>
      </w:r>
      <w:r>
        <w:rPr>
          <w:rFonts w:ascii="Arial" w:cs="Arial" w:eastAsia="Arial" w:hAnsi="Arial"/>
          <w:sz w:val="18"/>
          <w:szCs w:val="18"/>
          <w:color w:val="auto"/>
        </w:rPr>
        <w:t>Our investment policy addresses ESG factors. We consider ESG factors when (i) making decisions</w:t>
      </w:r>
      <w:r>
        <w:rPr>
          <w:rFonts w:ascii="Arial" w:cs="Arial" w:eastAsia="Arial" w:hAnsi="Arial"/>
          <w:sz w:val="18"/>
          <w:szCs w:val="18"/>
          <w:b w:val="1"/>
          <w:bCs w:val="1"/>
          <w:color w:val="auto"/>
        </w:rPr>
        <w:t xml:space="preserve"> </w:t>
      </w:r>
      <w:r>
        <w:rPr>
          <w:rFonts w:ascii="Arial" w:cs="Arial" w:eastAsia="Arial" w:hAnsi="Arial"/>
          <w:sz w:val="18"/>
          <w:szCs w:val="18"/>
          <w:color w:val="auto"/>
        </w:rPr>
        <w:t>in respect of internally managed portfolios and (ii) selecting external investment managers.</w:t>
      </w:r>
    </w:p>
    <w:p>
      <w:pPr>
        <w:spacing w:after="0" w:line="119" w:lineRule="exact"/>
        <w:rPr>
          <w:rFonts w:ascii="Arial" w:cs="Arial" w:eastAsia="Arial" w:hAnsi="Arial"/>
          <w:sz w:val="18"/>
          <w:szCs w:val="18"/>
          <w:color w:val="auto"/>
        </w:rPr>
      </w:pPr>
    </w:p>
    <w:p>
      <w:pPr>
        <w:ind w:left="600" w:right="940" w:hanging="302"/>
        <w:spacing w:after="0" w:line="270"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Board Oversight of ESG: </w:t>
      </w:r>
      <w:r>
        <w:rPr>
          <w:rFonts w:ascii="Arial" w:cs="Arial" w:eastAsia="Arial" w:hAnsi="Arial"/>
          <w:sz w:val="18"/>
          <w:szCs w:val="18"/>
          <w:color w:val="auto"/>
        </w:rPr>
        <w:t>ESG oversight responsibilities are explicitly included in the charters of the Audit, Finance and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Compensation/Nominating &amp; Governance Committees as outlined below.</w:t>
      </w:r>
    </w:p>
    <w:p>
      <w:pPr>
        <w:spacing w:after="0" w:line="119" w:lineRule="exact"/>
        <w:rPr>
          <w:rFonts w:ascii="Arial" w:cs="Arial" w:eastAsia="Arial" w:hAnsi="Arial"/>
          <w:sz w:val="18"/>
          <w:szCs w:val="18"/>
          <w:color w:val="auto"/>
        </w:rPr>
      </w:pPr>
    </w:p>
    <w:p>
      <w:pPr>
        <w:ind w:left="600" w:hanging="30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Statement on Climate Change: </w:t>
      </w:r>
      <w:r>
        <w:rPr>
          <w:rFonts w:ascii="Arial" w:cs="Arial" w:eastAsia="Arial" w:hAnsi="Arial"/>
          <w:sz w:val="18"/>
          <w:szCs w:val="18"/>
          <w:color w:val="auto"/>
        </w:rPr>
        <w:t>We have a corporate statement on climate change, which can be found on page 24.</w:t>
      </w:r>
    </w:p>
    <w:p>
      <w:pPr>
        <w:spacing w:after="0" w:line="178" w:lineRule="exact"/>
        <w:rPr>
          <w:rFonts w:ascii="Arial" w:cs="Arial" w:eastAsia="Arial" w:hAnsi="Arial"/>
          <w:sz w:val="18"/>
          <w:szCs w:val="18"/>
          <w:color w:val="auto"/>
        </w:rPr>
      </w:pPr>
    </w:p>
    <w:p>
      <w:pPr>
        <w:ind w:left="600" w:right="60" w:hanging="302"/>
        <w:spacing w:after="0" w:line="250"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ESG in Our Risk Management: </w:t>
      </w:r>
      <w:r>
        <w:rPr>
          <w:rFonts w:ascii="Arial" w:cs="Arial" w:eastAsia="Arial" w:hAnsi="Arial"/>
          <w:sz w:val="18"/>
          <w:szCs w:val="18"/>
          <w:color w:val="auto"/>
        </w:rPr>
        <w:t>We consider ESG risks, such as the impact of climate change and human capital management,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our risk management processes. Our Company website contains information on our risk management practices, including the primary frameworks used to assess risk and our approach to business continuity and the management of cybersecurity risks.</w:t>
      </w:r>
    </w:p>
    <w:p>
      <w:pPr>
        <w:spacing w:after="0" w:line="137" w:lineRule="exact"/>
        <w:rPr>
          <w:rFonts w:ascii="Arial" w:cs="Arial" w:eastAsia="Arial" w:hAnsi="Arial"/>
          <w:sz w:val="18"/>
          <w:szCs w:val="18"/>
          <w:color w:val="auto"/>
        </w:rPr>
      </w:pPr>
    </w:p>
    <w:p>
      <w:pPr>
        <w:ind w:left="600" w:right="200" w:hanging="302"/>
        <w:spacing w:after="0" w:line="244"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Communication of Our ESG Practices: </w:t>
      </w:r>
      <w:r>
        <w:rPr>
          <w:rFonts w:ascii="Arial" w:cs="Arial" w:eastAsia="Arial" w:hAnsi="Arial"/>
          <w:sz w:val="18"/>
          <w:szCs w:val="18"/>
          <w:color w:val="auto"/>
        </w:rPr>
        <w:t>To respond to feedback received in our annual shareholder engagement, we developed</w:t>
      </w:r>
      <w:r>
        <w:rPr>
          <w:rFonts w:ascii="Arial" w:cs="Arial" w:eastAsia="Arial" w:hAnsi="Arial"/>
          <w:sz w:val="18"/>
          <w:szCs w:val="18"/>
          <w:b w:val="1"/>
          <w:bCs w:val="1"/>
          <w:color w:val="auto"/>
        </w:rPr>
        <w:t xml:space="preserve"> </w:t>
      </w:r>
      <w:r>
        <w:rPr>
          <w:rFonts w:ascii="Arial" w:cs="Arial" w:eastAsia="Arial" w:hAnsi="Arial"/>
          <w:sz w:val="18"/>
          <w:szCs w:val="18"/>
          <w:color w:val="auto"/>
        </w:rPr>
        <w:t>an ESG landing page on our corporate website to communicate all of our practices more effectively, including an overview of how ESG is incorporated into our corporate governance and business ethics, our approach to climate change, our investment management activities, our human capital management, our approach to risk management and our community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340360</wp:posOffset>
            </wp:positionV>
            <wp:extent cx="6179185" cy="3484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79185" cy="348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460"/>
        <w:spacing w:after="0" w:line="270" w:lineRule="auto"/>
        <w:rPr>
          <w:sz w:val="20"/>
          <w:szCs w:val="20"/>
          <w:color w:val="auto"/>
        </w:rPr>
      </w:pPr>
      <w:r>
        <w:rPr>
          <w:rFonts w:ascii="Arial" w:cs="Arial" w:eastAsia="Arial" w:hAnsi="Arial"/>
          <w:sz w:val="18"/>
          <w:szCs w:val="18"/>
          <w:color w:val="auto"/>
        </w:rPr>
        <w:t>For more information on our ESG practices, please refer to page 24 of the proxy statement or the ESG landing page on our Company website (</w:t>
      </w:r>
      <w:r>
        <w:rPr>
          <w:rFonts w:ascii="Arial" w:cs="Arial" w:eastAsia="Arial" w:hAnsi="Arial"/>
          <w:sz w:val="18"/>
          <w:szCs w:val="18"/>
          <w:u w:val="single" w:color="auto"/>
          <w:color w:val="0000FF"/>
        </w:rPr>
        <w:t>www.whitemountains.com/esg/</w:t>
      </w:r>
      <w:r>
        <w:rPr>
          <w:rFonts w:ascii="Arial" w:cs="Arial" w:eastAsia="Arial" w:hAnsi="Arial"/>
          <w:sz w:val="18"/>
          <w:szCs w:val="18"/>
          <w:color w:val="auto"/>
        </w:rPr>
        <w:t>).</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20"/>
          </w:cols>
          <w:pgMar w:left="320" w:top="827" w:right="359" w:bottom="1440" w:gutter="0" w:footer="0" w:header="0"/>
          <w:type w:val="continuous"/>
        </w:sectPr>
      </w:pPr>
    </w:p>
    <w:bookmarkStart w:id="10" w:name="page11"/>
    <w:bookmarkEnd w:id="10"/>
    <w:p>
      <w:pPr>
        <w:jc w:val="center"/>
        <w:ind w:right="-79"/>
        <w:spacing w:after="0"/>
        <w:rPr>
          <w:sz w:val="20"/>
          <w:szCs w:val="20"/>
          <w:color w:val="auto"/>
        </w:rPr>
      </w:pPr>
      <w:r>
        <w:rPr>
          <w:rFonts w:ascii="Arial" w:cs="Arial" w:eastAsia="Arial" w:hAnsi="Arial"/>
          <w:sz w:val="18"/>
          <w:szCs w:val="18"/>
          <w:b w:val="1"/>
          <w:bCs w:val="1"/>
          <w:color w:val="auto"/>
        </w:rPr>
        <w:t>WHITE MOUNTAINS INSURANCE GROUP, LTD.</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NOTICE OF 2026 ANNUAL GENERAL MEETING OF MEMBERS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MAY 21, 2026</w:t>
      </w:r>
    </w:p>
    <w:p>
      <w:pPr>
        <w:spacing w:after="0" w:line="191"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April 1, 2026</w:t>
      </w:r>
    </w:p>
    <w:p>
      <w:pPr>
        <w:spacing w:after="0" w:line="191" w:lineRule="exact"/>
        <w:rPr>
          <w:sz w:val="20"/>
          <w:szCs w:val="20"/>
          <w:color w:val="auto"/>
        </w:rPr>
      </w:pPr>
    </w:p>
    <w:p>
      <w:pPr>
        <w:ind w:firstLine="299"/>
        <w:spacing w:after="0" w:line="250" w:lineRule="auto"/>
        <w:rPr>
          <w:sz w:val="20"/>
          <w:szCs w:val="20"/>
          <w:color w:val="auto"/>
        </w:rPr>
      </w:pPr>
      <w:r>
        <w:rPr>
          <w:rFonts w:ascii="Arial" w:cs="Arial" w:eastAsia="Arial" w:hAnsi="Arial"/>
          <w:sz w:val="18"/>
          <w:szCs w:val="18"/>
          <w:color w:val="auto"/>
        </w:rPr>
        <w:t>Notice is hereby given that the 2026 Annual General Meeting of Members of White Mountains Insurance Group, Ltd. will be held on Thursday, May 21, 2026 at 8:00 am Atlantic Time at Rosewood Bermuda Hotel, 60 Tucker’s Point Drive, Hamilton Parish, Bermuda. At this meeting, you will be asked to consider and vote upon the following proposals:</w:t>
      </w:r>
    </w:p>
    <w:p>
      <w:pPr>
        <w:spacing w:after="0" w:line="137" w:lineRule="exact"/>
        <w:rPr>
          <w:sz w:val="20"/>
          <w:szCs w:val="20"/>
          <w:color w:val="auto"/>
        </w:rPr>
      </w:pPr>
    </w:p>
    <w:p>
      <w:pPr>
        <w:ind w:left="440" w:hanging="29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election of four directors to Class II with terms ending in 2029;</w:t>
      </w:r>
    </w:p>
    <w:p>
      <w:pPr>
        <w:spacing w:after="0" w:line="191" w:lineRule="exact"/>
        <w:rPr>
          <w:rFonts w:ascii="Arial" w:cs="Arial" w:eastAsia="Arial" w:hAnsi="Arial"/>
          <w:sz w:val="18"/>
          <w:szCs w:val="18"/>
          <w:color w:val="auto"/>
        </w:rPr>
      </w:pPr>
    </w:p>
    <w:p>
      <w:pPr>
        <w:ind w:left="440" w:hanging="29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approval of the advisory resolution on executive compensation; and</w:t>
      </w:r>
    </w:p>
    <w:p>
      <w:pPr>
        <w:spacing w:after="0" w:line="191" w:lineRule="exact"/>
        <w:rPr>
          <w:rFonts w:ascii="Arial" w:cs="Arial" w:eastAsia="Arial" w:hAnsi="Arial"/>
          <w:sz w:val="18"/>
          <w:szCs w:val="18"/>
          <w:color w:val="auto"/>
        </w:rPr>
      </w:pPr>
    </w:p>
    <w:p>
      <w:pPr>
        <w:ind w:left="440" w:right="100" w:hanging="291"/>
        <w:spacing w:after="0" w:line="270"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approval of the appointment of PricewaterhouseCoopers LLP (“PwC”) as the Company’s Independent Registered Public Accounting Firm for 2026.</w:t>
      </w:r>
    </w:p>
    <w:p>
      <w:pPr>
        <w:spacing w:after="0" w:line="132" w:lineRule="exact"/>
        <w:rPr>
          <w:sz w:val="20"/>
          <w:szCs w:val="20"/>
          <w:color w:val="auto"/>
        </w:rPr>
      </w:pPr>
    </w:p>
    <w:p>
      <w:pPr>
        <w:ind w:right="740" w:firstLine="299"/>
        <w:spacing w:after="0" w:line="270" w:lineRule="auto"/>
        <w:rPr>
          <w:sz w:val="20"/>
          <w:szCs w:val="20"/>
          <w:color w:val="auto"/>
        </w:rPr>
      </w:pPr>
      <w:r>
        <w:rPr>
          <w:rFonts w:ascii="Arial" w:cs="Arial" w:eastAsia="Arial" w:hAnsi="Arial"/>
          <w:sz w:val="18"/>
          <w:szCs w:val="18"/>
          <w:color w:val="auto"/>
        </w:rPr>
        <w:t>The Company’s audited financial statements for the year ended December 31, 2025, as approved by the Company’s Board of Directors, will be presented at this Annual General Meeting.</w:t>
      </w:r>
    </w:p>
    <w:p>
      <w:pPr>
        <w:spacing w:after="0" w:line="132" w:lineRule="exact"/>
        <w:rPr>
          <w:sz w:val="20"/>
          <w:szCs w:val="20"/>
          <w:color w:val="auto"/>
        </w:rPr>
      </w:pPr>
    </w:p>
    <w:p>
      <w:pPr>
        <w:ind w:firstLine="299"/>
        <w:spacing w:after="0"/>
        <w:rPr>
          <w:sz w:val="20"/>
          <w:szCs w:val="20"/>
          <w:color w:val="auto"/>
        </w:rPr>
      </w:pPr>
      <w:r>
        <w:rPr>
          <w:rFonts w:ascii="Arial" w:cs="Arial" w:eastAsia="Arial" w:hAnsi="Arial"/>
          <w:sz w:val="18"/>
          <w:szCs w:val="18"/>
          <w:color w:val="auto"/>
        </w:rPr>
        <w:t>Shareholders of record of common shares on the record date, Monday, March 30, 2026, (1) who are individuals, may attend and vote at the meeting in person or by proxy or (2) that are corporations or other entities, may have their duly authorized representative attend and vote at the meeting in person or by proxy. A list of all shareholders entitled to vote at the meeting will be open for public examination during regular business hours beginning on or about April 16, 2026 at the Company’s registered office located at Clarendon House, 2 Church Street, Hamilton HM 11, Bermuda.</w:t>
      </w:r>
    </w:p>
    <w:p>
      <w:pPr>
        <w:spacing w:after="0" w:line="3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Jennifer L. Moyer</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Corporate Secretary</w:t>
      </w:r>
    </w:p>
    <w:p>
      <w:pPr>
        <w:spacing w:after="0" w:line="188" w:lineRule="exact"/>
        <w:rPr>
          <w:sz w:val="20"/>
          <w:szCs w:val="20"/>
          <w:color w:val="auto"/>
        </w:rPr>
      </w:pPr>
    </w:p>
    <w:p>
      <w:pPr>
        <w:ind w:right="120" w:firstLine="299"/>
        <w:spacing w:after="0" w:line="264" w:lineRule="auto"/>
        <w:rPr>
          <w:sz w:val="20"/>
          <w:szCs w:val="20"/>
          <w:color w:val="auto"/>
        </w:rPr>
      </w:pPr>
      <w:r>
        <w:rPr>
          <w:rFonts w:ascii="Arial" w:cs="Arial" w:eastAsia="Arial" w:hAnsi="Arial"/>
          <w:sz w:val="13"/>
          <w:szCs w:val="13"/>
          <w:b w:val="1"/>
          <w:bCs w:val="1"/>
          <w:color w:val="auto"/>
        </w:rPr>
        <w:t>Shareholders are invited to complete and sign the accompanying proxy card to be returned to White Mountains Insurance Group, Ltd., Proxy Services, c/o Computershare Investor Services, P.O. Box 43101, Providence, RI 02940-5067, in the envelope provided, whether or not they expect to attend the meeting. Shareholders may also vote their shares by telephone or via the internet in accordance with the instructions on your proxy card.</w:t>
      </w: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160"/>
          </w:cols>
          <w:pgMar w:left="320" w:top="815" w:right="41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WHITE MOUNTAINS INSURANCE GROUP, LTD.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16" w:lineRule="exact"/>
        <w:rPr>
          <w:sz w:val="20"/>
          <w:szCs w:val="20"/>
          <w:color w:val="auto"/>
        </w:rPr>
      </w:pPr>
    </w:p>
    <w:p>
      <w:pPr>
        <w:ind w:firstLine="299"/>
        <w:spacing w:after="0" w:line="250" w:lineRule="auto"/>
        <w:rPr>
          <w:sz w:val="20"/>
          <w:szCs w:val="20"/>
          <w:color w:val="auto"/>
        </w:rPr>
      </w:pPr>
      <w:r>
        <w:rPr>
          <w:rFonts w:ascii="Arial" w:cs="Arial" w:eastAsia="Arial" w:hAnsi="Arial"/>
          <w:sz w:val="18"/>
          <w:szCs w:val="18"/>
          <w:color w:val="auto"/>
        </w:rPr>
        <w:t>This Proxy Statement is being furnished in connection with the solicitation of proxies on behalf of the Company’s Board of Directors (the “Board”) for the 2026 Annual General Meeting of Members (the “2026 Annual Meeting”), to be held on Thursday, May 21, 2026 at 8:00 am Atlantic Time at Rosewood Bermuda Hotel, 60 Tucker’s Point Drive, Hamilton Parish, Bermuda.</w:t>
      </w:r>
    </w:p>
    <w:p>
      <w:pPr>
        <w:spacing w:after="0" w:line="150" w:lineRule="exact"/>
        <w:rPr>
          <w:sz w:val="20"/>
          <w:szCs w:val="20"/>
          <w:color w:val="auto"/>
        </w:rPr>
      </w:pPr>
    </w:p>
    <w:p>
      <w:pPr>
        <w:jc w:val="both"/>
        <w:ind w:right="380" w:firstLine="299"/>
        <w:spacing w:after="0" w:line="250" w:lineRule="auto"/>
        <w:rPr>
          <w:sz w:val="20"/>
          <w:szCs w:val="20"/>
          <w:color w:val="auto"/>
        </w:rPr>
      </w:pPr>
      <w:r>
        <w:rPr>
          <w:rFonts w:ascii="Arial" w:cs="Arial" w:eastAsia="Arial" w:hAnsi="Arial"/>
          <w:sz w:val="18"/>
          <w:szCs w:val="18"/>
          <w:color w:val="auto"/>
        </w:rPr>
        <w:t>Holders of the Company’s common shares, par value $1.00 per share, as of the close of business on Monday, March 30, 2026, the record date, are entitled to vote at the meeting. The solicitation of proxies will be made primarily by mail, and the Proxy Statement and related proxy materials will be sent to registered shareholders on or about April 16, 2026.</w:t>
      </w:r>
    </w:p>
    <w:p>
      <w:pPr>
        <w:spacing w:after="0" w:line="150" w:lineRule="exact"/>
        <w:rPr>
          <w:sz w:val="20"/>
          <w:szCs w:val="20"/>
          <w:color w:val="auto"/>
        </w:rPr>
      </w:pPr>
    </w:p>
    <w:p>
      <w:pPr>
        <w:ind w:right="160" w:firstLine="299"/>
        <w:spacing w:after="0" w:line="237" w:lineRule="auto"/>
        <w:rPr>
          <w:sz w:val="20"/>
          <w:szCs w:val="20"/>
          <w:color w:val="auto"/>
        </w:rPr>
      </w:pPr>
      <w:r>
        <w:rPr>
          <w:rFonts w:ascii="Arial" w:cs="Arial" w:eastAsia="Arial" w:hAnsi="Arial"/>
          <w:sz w:val="18"/>
          <w:szCs w:val="18"/>
          <w:color w:val="auto"/>
        </w:rPr>
        <w:t>You can ensure that your common shares are properly voted at the meeting by completing, signing, dating and returning the enclosed proxy card in the envelope provided. Shareholders may also vote their shares by telephone or via the internet in accordance with the instructions on your proxy card. Shareholders have the right to appoint another person (who need not be a shareholder) to represent the shareholder at the meeting by completing an alternative form of proxy which can be obtained from the Corporate Secretary or by notifying the Inspectors of Election (see page 62). Every shareholder entitled to vote has the right to do so either in person or by one or more persons authorized by a written proxy executed by such shareholder and filed with the Corporate Secretary. Any proxy duly executed will continue in full force and effect unless revoked by the person executing it in writing or by the filing of a subsequent proxy.</w:t>
      </w:r>
    </w:p>
    <w:p>
      <w:pPr>
        <w:spacing w:after="0" w:line="162" w:lineRule="exact"/>
        <w:rPr>
          <w:sz w:val="20"/>
          <w:szCs w:val="20"/>
          <w:color w:val="auto"/>
        </w:rPr>
      </w:pPr>
    </w:p>
    <w:p>
      <w:pPr>
        <w:ind w:right="340" w:firstLine="299"/>
        <w:spacing w:after="0" w:line="270" w:lineRule="auto"/>
        <w:rPr>
          <w:sz w:val="20"/>
          <w:szCs w:val="20"/>
          <w:color w:val="auto"/>
        </w:rPr>
      </w:pPr>
      <w:r>
        <w:rPr>
          <w:rFonts w:ascii="Arial" w:cs="Arial" w:eastAsia="Arial" w:hAnsi="Arial"/>
          <w:sz w:val="18"/>
          <w:szCs w:val="18"/>
          <w:color w:val="auto"/>
        </w:rPr>
        <w:t>Sending in a signed proxy will not affect your right to attend the meeting and vote. If a shareholder attends the meeting and votes in person, his or her signed proxy is considered revoked.</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VOTING INFORMATION</w:t>
      </w:r>
    </w:p>
    <w:p>
      <w:pPr>
        <w:spacing w:after="0" w:line="191" w:lineRule="exact"/>
        <w:rPr>
          <w:sz w:val="20"/>
          <w:szCs w:val="20"/>
          <w:color w:val="auto"/>
        </w:rPr>
      </w:pPr>
    </w:p>
    <w:p>
      <w:pPr>
        <w:ind w:firstLine="299"/>
        <w:spacing w:after="0"/>
        <w:rPr>
          <w:sz w:val="20"/>
          <w:szCs w:val="20"/>
          <w:color w:val="auto"/>
        </w:rPr>
      </w:pPr>
      <w:r>
        <w:rPr>
          <w:rFonts w:ascii="Arial" w:cs="Arial" w:eastAsia="Arial" w:hAnsi="Arial"/>
          <w:sz w:val="18"/>
          <w:szCs w:val="18"/>
          <w:color w:val="auto"/>
        </w:rPr>
        <w:t>If you hold your shares through a broker, bank or other financial institution, in order for your vote to be counted on any matter other than Proposal 3 (the ratification of the appointment of PwC as the Company’s independent registered public accounting firm for 2026), you must provide specific voting instructions to your broker, bank or financial institution by completing and returning the proxy card or following the instructions provided to you to vote your shares via telephone or the internet. Voting deadlines vary by institution. Please check with your broker, bank or other financial institution for the voting cut-off date for WTM.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Participation in Voting the Shares You Own Is Important</w:t>
      </w:r>
    </w:p>
    <w:p>
      <w:pPr>
        <w:spacing w:after="0" w:line="189" w:lineRule="exact"/>
        <w:rPr>
          <w:sz w:val="20"/>
          <w:szCs w:val="20"/>
          <w:color w:val="auto"/>
        </w:rPr>
      </w:pPr>
    </w:p>
    <w:p>
      <w:pPr>
        <w:ind w:right="260" w:firstLine="299"/>
        <w:spacing w:after="0" w:line="250" w:lineRule="auto"/>
        <w:rPr>
          <w:sz w:val="20"/>
          <w:szCs w:val="20"/>
          <w:color w:val="auto"/>
        </w:rPr>
      </w:pPr>
      <w:r>
        <w:rPr>
          <w:rFonts w:ascii="Arial" w:cs="Arial" w:eastAsia="Arial" w:hAnsi="Arial"/>
          <w:sz w:val="18"/>
          <w:szCs w:val="18"/>
          <w:color w:val="auto"/>
        </w:rPr>
        <w:t>Voting your shares is important to ensure that you have a say in the governance of your company. Please review the proxy materials and follow the instructions on the proxy card to vote your shares. We hope you will exercise your rights and fully participate in your Company’s future.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More Information Is Available</w:t>
      </w:r>
    </w:p>
    <w:p>
      <w:pPr>
        <w:spacing w:after="0" w:line="189" w:lineRule="exact"/>
        <w:rPr>
          <w:sz w:val="20"/>
          <w:szCs w:val="20"/>
          <w:color w:val="auto"/>
        </w:rPr>
      </w:pPr>
    </w:p>
    <w:p>
      <w:pPr>
        <w:ind w:firstLine="597"/>
        <w:spacing w:after="0" w:line="250" w:lineRule="auto"/>
        <w:rPr>
          <w:sz w:val="20"/>
          <w:szCs w:val="20"/>
          <w:color w:val="auto"/>
        </w:rPr>
      </w:pPr>
      <w:r>
        <w:rPr>
          <w:rFonts w:ascii="Arial" w:cs="Arial" w:eastAsia="Arial" w:hAnsi="Arial"/>
          <w:sz w:val="18"/>
          <w:szCs w:val="18"/>
          <w:color w:val="auto"/>
        </w:rPr>
        <w:t xml:space="preserve">If you have any questions about this rule or the proxy voting process in general, please contact the broker, bank or other financial institution where you hold your shares. The U.S. Securities and Exchange Commission (“SEC”) has information available on the internet at: </w:t>
      </w:r>
      <w:r>
        <w:rPr>
          <w:rFonts w:ascii="Arial" w:cs="Arial" w:eastAsia="Arial" w:hAnsi="Arial"/>
          <w:sz w:val="18"/>
          <w:szCs w:val="18"/>
          <w:u w:val="single" w:color="auto"/>
          <w:color w:val="0000FF"/>
        </w:rPr>
        <w:t>https://www.investor.gov/shareholder-voting</w:t>
      </w:r>
      <w:r>
        <w:rPr>
          <w:rFonts w:ascii="Arial" w:cs="Arial" w:eastAsia="Arial" w:hAnsi="Arial"/>
          <w:sz w:val="18"/>
          <w:szCs w:val="18"/>
          <w:color w:val="0000FF"/>
        </w:rPr>
        <w:t xml:space="preserve"> </w:t>
      </w:r>
      <w:r>
        <w:rPr>
          <w:rFonts w:ascii="Arial" w:cs="Arial" w:eastAsia="Arial" w:hAnsi="Arial"/>
          <w:sz w:val="18"/>
          <w:szCs w:val="18"/>
          <w:color w:val="000000"/>
        </w:rPr>
        <w:t>with more information about your voting rights as a shareholder.</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20"/>
          </w:cols>
          <w:pgMar w:left="320" w:top="803" w:right="359" w:bottom="1440" w:gutter="0" w:footer="0" w:header="0"/>
        </w:sectPr>
      </w:pPr>
    </w:p>
    <w:bookmarkStart w:id="12" w:name="page13"/>
    <w:bookmarkEnd w:id="12"/>
    <w:p>
      <w:pPr>
        <w:jc w:val="center"/>
        <w:ind w:right="-139"/>
        <w:spacing w:after="0"/>
        <w:rPr>
          <w:sz w:val="20"/>
          <w:szCs w:val="20"/>
          <w:color w:val="auto"/>
        </w:rPr>
      </w:pPr>
      <w:r>
        <w:rPr>
          <w:rFonts w:ascii="Arial" w:cs="Arial" w:eastAsia="Arial" w:hAnsi="Arial"/>
          <w:sz w:val="18"/>
          <w:szCs w:val="18"/>
          <w:b w:val="1"/>
          <w:bCs w:val="1"/>
          <w:i w:val="1"/>
          <w:iCs w:val="1"/>
          <w:color w:val="auto"/>
        </w:rPr>
        <w:t xml:space="preserve">PROPOSAL 1 </w:t>
      </w:r>
      <w:r>
        <w:rPr>
          <w:rFonts w:ascii="Arial" w:cs="Arial" w:eastAsia="Arial" w:hAnsi="Arial"/>
          <w:sz w:val="16"/>
          <w:szCs w:val="16"/>
          <w:i w:val="1"/>
          <w:iCs w:val="1"/>
          <w:color w:val="auto"/>
        </w:rPr>
        <w:t>-</w:t>
      </w:r>
      <w:r>
        <w:rPr>
          <w:rFonts w:ascii="Arial" w:cs="Arial" w:eastAsia="Arial" w:hAnsi="Arial"/>
          <w:sz w:val="18"/>
          <w:szCs w:val="18"/>
          <w:b w:val="1"/>
          <w:bCs w:val="1"/>
          <w:i w:val="1"/>
          <w:iCs w:val="1"/>
          <w:color w:val="auto"/>
        </w:rPr>
        <w:t xml:space="preserve"> ELECTION OF THE COMPANY’S DIRECTORS</w:t>
      </w:r>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BOARD OF DIRECTORS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Board is divided into three classes (each a “Class”). Each Class serves a three-year term.</w:t>
      </w:r>
    </w:p>
    <w:p>
      <w:pPr>
        <w:spacing w:after="0" w:line="191" w:lineRule="exact"/>
        <w:rPr>
          <w:sz w:val="20"/>
          <w:szCs w:val="20"/>
          <w:color w:val="auto"/>
        </w:rPr>
      </w:pPr>
    </w:p>
    <w:p>
      <w:pPr>
        <w:ind w:firstLine="299"/>
        <w:spacing w:after="0"/>
        <w:rPr>
          <w:sz w:val="20"/>
          <w:szCs w:val="20"/>
          <w:color w:val="auto"/>
        </w:rPr>
      </w:pPr>
      <w:r>
        <w:rPr>
          <w:rFonts w:ascii="Arial" w:cs="Arial" w:eastAsia="Arial" w:hAnsi="Arial"/>
          <w:sz w:val="18"/>
          <w:szCs w:val="18"/>
          <w:color w:val="auto"/>
        </w:rPr>
        <w:t>At the 2026 Annual General Meeting, Liam P. Caffrey, Mary C. Choksi, John K. Chu and Weston M. Hicks are nominated to be elected to Class II with a term ending in 2029. In February 2026, Mr. Yi notified the Board that he would not stand for reelection as a Class II director. Of the nominees for election at the 2026 Annual General Meeting, Ms. Choksi and Mr. Hicks were previously elected by shareholders. Mr. Chu was recommended by Mr. Caffrey, the Chief Executive Officer. Messrs. Caffrey and Chu were approved for nomination to be elected at the 2026 Annual General Meeting by the Compensation/Nominating &amp; Governance Committee.</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Board recommends a vote FOR Proposal 1 which calls for the election of the 2026 nominees.</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director nominees, continuing members of the Board and terms of each Class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64135</wp:posOffset>
            </wp:positionV>
            <wp:extent cx="642429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24295" cy="7620"/>
                    </a:xfrm>
                    <a:prstGeom prst="rect">
                      <a:avLst/>
                    </a:prstGeom>
                    <a:noFill/>
                  </pic:spPr>
                </pic:pic>
              </a:graphicData>
            </a:graphic>
          </wp:anchor>
        </w:drawing>
      </w:r>
    </w:p>
    <w:p>
      <w:pPr>
        <w:spacing w:after="0" w:line="92"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44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180" w:type="dxa"/>
            <w:vAlign w:val="bottom"/>
          </w:tcPr>
          <w:p>
            <w:pPr>
              <w:jc w:val="center"/>
              <w:ind w:left="77"/>
              <w:spacing w:after="0"/>
              <w:rPr>
                <w:sz w:val="20"/>
                <w:szCs w:val="20"/>
                <w:color w:val="auto"/>
              </w:rPr>
            </w:pPr>
            <w:r>
              <w:rPr>
                <w:rFonts w:ascii="Arial" w:cs="Arial" w:eastAsia="Arial" w:hAnsi="Arial"/>
                <w:sz w:val="17"/>
                <w:szCs w:val="17"/>
                <w:color w:val="auto"/>
                <w:w w:val="97"/>
              </w:rPr>
              <w:t>Director</w:t>
            </w:r>
          </w:p>
        </w:tc>
        <w:tc>
          <w:tcPr>
            <w:tcW w:w="1820" w:type="dxa"/>
            <w:vAlign w:val="bottom"/>
          </w:tcPr>
          <w:p>
            <w:pPr>
              <w:jc w:val="center"/>
              <w:spacing w:after="0"/>
              <w:rPr>
                <w:sz w:val="20"/>
                <w:szCs w:val="20"/>
                <w:color w:val="auto"/>
              </w:rPr>
            </w:pPr>
            <w:r>
              <w:rPr>
                <w:rFonts w:ascii="Arial" w:cs="Arial" w:eastAsia="Arial" w:hAnsi="Arial"/>
                <w:sz w:val="17"/>
                <w:szCs w:val="17"/>
                <w:color w:val="auto"/>
                <w:w w:val="96"/>
              </w:rPr>
              <w:t>Our Board’s</w:t>
            </w:r>
          </w:p>
        </w:tc>
      </w:tr>
      <w:tr>
        <w:trPr>
          <w:trHeight w:val="223"/>
        </w:trPr>
        <w:tc>
          <w:tcPr>
            <w:tcW w:w="4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Director</w:t>
            </w:r>
          </w:p>
        </w:tc>
        <w:tc>
          <w:tcPr>
            <w:tcW w:w="1720" w:type="dxa"/>
            <w:vAlign w:val="bottom"/>
            <w:tcBorders>
              <w:bottom w:val="single" w:sz="8" w:color="auto"/>
            </w:tcBorders>
          </w:tcPr>
          <w:p>
            <w:pPr>
              <w:jc w:val="center"/>
              <w:ind w:left="537"/>
              <w:spacing w:after="0"/>
              <w:rPr>
                <w:sz w:val="20"/>
                <w:szCs w:val="20"/>
                <w:color w:val="auto"/>
              </w:rPr>
            </w:pPr>
            <w:r>
              <w:rPr>
                <w:rFonts w:ascii="Arial" w:cs="Arial" w:eastAsia="Arial" w:hAnsi="Arial"/>
                <w:sz w:val="17"/>
                <w:szCs w:val="17"/>
                <w:color w:val="auto"/>
                <w:w w:val="99"/>
              </w:rPr>
              <w:t>Age</w:t>
            </w:r>
          </w:p>
        </w:tc>
        <w:tc>
          <w:tcPr>
            <w:tcW w:w="2180" w:type="dxa"/>
            <w:vAlign w:val="bottom"/>
            <w:tcBorders>
              <w:bottom w:val="single" w:sz="8" w:color="auto"/>
            </w:tcBorders>
          </w:tcPr>
          <w:p>
            <w:pPr>
              <w:jc w:val="center"/>
              <w:ind w:left="77"/>
              <w:spacing w:after="0"/>
              <w:rPr>
                <w:sz w:val="20"/>
                <w:szCs w:val="20"/>
                <w:color w:val="auto"/>
              </w:rPr>
            </w:pPr>
            <w:r>
              <w:rPr>
                <w:rFonts w:ascii="Arial" w:cs="Arial" w:eastAsia="Arial" w:hAnsi="Arial"/>
                <w:sz w:val="17"/>
                <w:szCs w:val="17"/>
                <w:color w:val="auto"/>
                <w:w w:val="98"/>
              </w:rPr>
              <w:t>Since</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Recommendation</w:t>
            </w:r>
          </w:p>
        </w:tc>
      </w:tr>
      <w:tr>
        <w:trPr>
          <w:trHeight w:val="234"/>
        </w:trPr>
        <w:tc>
          <w:tcPr>
            <w:tcW w:w="4400" w:type="dxa"/>
            <w:vAlign w:val="bottom"/>
          </w:tcPr>
          <w:p>
            <w:pPr>
              <w:spacing w:after="0"/>
              <w:rPr>
                <w:sz w:val="20"/>
                <w:szCs w:val="20"/>
                <w:color w:val="auto"/>
              </w:rPr>
            </w:pPr>
            <w:r>
              <w:rPr>
                <w:rFonts w:ascii="Arial" w:cs="Arial" w:eastAsia="Arial" w:hAnsi="Arial"/>
                <w:sz w:val="17"/>
                <w:szCs w:val="17"/>
                <w:b w:val="1"/>
                <w:bCs w:val="1"/>
                <w:i w:val="1"/>
                <w:iCs w:val="1"/>
                <w:color w:val="auto"/>
              </w:rPr>
              <w:t>Class I – Term ending in 2028</w:t>
            </w:r>
          </w:p>
        </w:tc>
        <w:tc>
          <w:tcPr>
            <w:tcW w:w="17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26"/>
        </w:trPr>
        <w:tc>
          <w:tcPr>
            <w:tcW w:w="4400" w:type="dxa"/>
            <w:vAlign w:val="bottom"/>
          </w:tcPr>
          <w:p>
            <w:pPr>
              <w:ind w:left="140"/>
              <w:spacing w:after="0"/>
              <w:rPr>
                <w:sz w:val="20"/>
                <w:szCs w:val="20"/>
                <w:color w:val="auto"/>
              </w:rPr>
            </w:pPr>
            <w:r>
              <w:rPr>
                <w:rFonts w:ascii="Arial" w:cs="Arial" w:eastAsia="Arial" w:hAnsi="Arial"/>
                <w:sz w:val="17"/>
                <w:szCs w:val="17"/>
                <w:color w:val="auto"/>
              </w:rPr>
              <w:t>Reid T. Campbell</w:t>
            </w:r>
          </w:p>
        </w:tc>
        <w:tc>
          <w:tcPr>
            <w:tcW w:w="1720" w:type="dxa"/>
            <w:vAlign w:val="bottom"/>
          </w:tcPr>
          <w:p>
            <w:pPr>
              <w:jc w:val="center"/>
              <w:ind w:left="537"/>
              <w:spacing w:after="0"/>
              <w:rPr>
                <w:sz w:val="20"/>
                <w:szCs w:val="20"/>
                <w:color w:val="auto"/>
              </w:rPr>
            </w:pPr>
            <w:r>
              <w:rPr>
                <w:rFonts w:ascii="Arial" w:cs="Arial" w:eastAsia="Arial" w:hAnsi="Arial"/>
                <w:sz w:val="17"/>
                <w:szCs w:val="17"/>
                <w:color w:val="auto"/>
                <w:w w:val="94"/>
              </w:rPr>
              <w:t>58</w:t>
            </w:r>
          </w:p>
        </w:tc>
        <w:tc>
          <w:tcPr>
            <w:tcW w:w="2180" w:type="dxa"/>
            <w:vAlign w:val="bottom"/>
          </w:tcPr>
          <w:p>
            <w:pPr>
              <w:jc w:val="center"/>
              <w:ind w:left="77"/>
              <w:spacing w:after="0"/>
              <w:rPr>
                <w:sz w:val="20"/>
                <w:szCs w:val="20"/>
                <w:color w:val="auto"/>
              </w:rPr>
            </w:pPr>
            <w:r>
              <w:rPr>
                <w:rFonts w:ascii="Arial" w:cs="Arial" w:eastAsia="Arial" w:hAnsi="Arial"/>
                <w:sz w:val="17"/>
                <w:szCs w:val="17"/>
                <w:color w:val="auto"/>
              </w:rPr>
              <w:t>2024</w:t>
            </w:r>
          </w:p>
        </w:tc>
        <w:tc>
          <w:tcPr>
            <w:tcW w:w="1820" w:type="dxa"/>
            <w:vAlign w:val="bottom"/>
          </w:tcPr>
          <w:p>
            <w:pPr>
              <w:spacing w:after="0"/>
              <w:rPr>
                <w:sz w:val="19"/>
                <w:szCs w:val="19"/>
                <w:color w:val="auto"/>
              </w:rPr>
            </w:pPr>
          </w:p>
        </w:tc>
      </w:tr>
      <w:tr>
        <w:trPr>
          <w:trHeight w:val="236"/>
        </w:trPr>
        <w:tc>
          <w:tcPr>
            <w:tcW w:w="4400" w:type="dxa"/>
            <w:vAlign w:val="bottom"/>
          </w:tcPr>
          <w:p>
            <w:pPr>
              <w:ind w:left="140"/>
              <w:spacing w:after="0"/>
              <w:rPr>
                <w:sz w:val="20"/>
                <w:szCs w:val="20"/>
                <w:color w:val="auto"/>
              </w:rPr>
            </w:pPr>
            <w:r>
              <w:rPr>
                <w:rFonts w:ascii="Arial" w:cs="Arial" w:eastAsia="Arial" w:hAnsi="Arial"/>
                <w:sz w:val="17"/>
                <w:szCs w:val="17"/>
                <w:color w:val="auto"/>
              </w:rPr>
              <w:t>Peter M. Carlson</w:t>
            </w:r>
          </w:p>
        </w:tc>
        <w:tc>
          <w:tcPr>
            <w:tcW w:w="1720" w:type="dxa"/>
            <w:vAlign w:val="bottom"/>
          </w:tcPr>
          <w:p>
            <w:pPr>
              <w:jc w:val="center"/>
              <w:ind w:left="537"/>
              <w:spacing w:after="0"/>
              <w:rPr>
                <w:sz w:val="20"/>
                <w:szCs w:val="20"/>
                <w:color w:val="auto"/>
              </w:rPr>
            </w:pPr>
            <w:r>
              <w:rPr>
                <w:rFonts w:ascii="Arial" w:cs="Arial" w:eastAsia="Arial" w:hAnsi="Arial"/>
                <w:sz w:val="17"/>
                <w:szCs w:val="17"/>
                <w:color w:val="auto"/>
                <w:w w:val="94"/>
              </w:rPr>
              <w:t>61</w:t>
            </w:r>
          </w:p>
        </w:tc>
        <w:tc>
          <w:tcPr>
            <w:tcW w:w="2180" w:type="dxa"/>
            <w:vAlign w:val="bottom"/>
          </w:tcPr>
          <w:p>
            <w:pPr>
              <w:jc w:val="center"/>
              <w:ind w:left="77"/>
              <w:spacing w:after="0"/>
              <w:rPr>
                <w:sz w:val="20"/>
                <w:szCs w:val="20"/>
                <w:color w:val="auto"/>
              </w:rPr>
            </w:pPr>
            <w:r>
              <w:rPr>
                <w:rFonts w:ascii="Arial" w:cs="Arial" w:eastAsia="Arial" w:hAnsi="Arial"/>
                <w:sz w:val="17"/>
                <w:szCs w:val="17"/>
                <w:color w:val="auto"/>
              </w:rPr>
              <w:t>2019</w:t>
            </w:r>
          </w:p>
        </w:tc>
        <w:tc>
          <w:tcPr>
            <w:tcW w:w="1820" w:type="dxa"/>
            <w:vAlign w:val="bottom"/>
          </w:tcPr>
          <w:p>
            <w:pPr>
              <w:spacing w:after="0"/>
              <w:rPr>
                <w:sz w:val="20"/>
                <w:szCs w:val="20"/>
                <w:color w:val="auto"/>
              </w:rPr>
            </w:pPr>
          </w:p>
        </w:tc>
      </w:tr>
      <w:tr>
        <w:trPr>
          <w:trHeight w:val="242"/>
        </w:trPr>
        <w:tc>
          <w:tcPr>
            <w:tcW w:w="44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Suzanne F. Shank</w:t>
            </w:r>
          </w:p>
        </w:tc>
        <w:tc>
          <w:tcPr>
            <w:tcW w:w="1720" w:type="dxa"/>
            <w:vAlign w:val="bottom"/>
            <w:tcBorders>
              <w:bottom w:val="single" w:sz="8" w:color="auto"/>
            </w:tcBorders>
          </w:tcPr>
          <w:p>
            <w:pPr>
              <w:jc w:val="center"/>
              <w:ind w:left="537"/>
              <w:spacing w:after="0"/>
              <w:rPr>
                <w:sz w:val="20"/>
                <w:szCs w:val="20"/>
                <w:color w:val="auto"/>
              </w:rPr>
            </w:pPr>
            <w:r>
              <w:rPr>
                <w:rFonts w:ascii="Arial" w:cs="Arial" w:eastAsia="Arial" w:hAnsi="Arial"/>
                <w:sz w:val="17"/>
                <w:szCs w:val="17"/>
                <w:color w:val="auto"/>
                <w:w w:val="94"/>
              </w:rPr>
              <w:t>64</w:t>
            </w:r>
          </w:p>
        </w:tc>
        <w:tc>
          <w:tcPr>
            <w:tcW w:w="2180" w:type="dxa"/>
            <w:vAlign w:val="bottom"/>
            <w:tcBorders>
              <w:bottom w:val="single" w:sz="8" w:color="auto"/>
            </w:tcBorders>
          </w:tcPr>
          <w:p>
            <w:pPr>
              <w:jc w:val="center"/>
              <w:ind w:left="77"/>
              <w:spacing w:after="0"/>
              <w:rPr>
                <w:sz w:val="20"/>
                <w:szCs w:val="20"/>
                <w:color w:val="auto"/>
              </w:rPr>
            </w:pPr>
            <w:r>
              <w:rPr>
                <w:rFonts w:ascii="Arial" w:cs="Arial" w:eastAsia="Arial" w:hAnsi="Arial"/>
                <w:sz w:val="17"/>
                <w:szCs w:val="17"/>
                <w:color w:val="auto"/>
              </w:rPr>
              <w:t>2021</w:t>
            </w:r>
          </w:p>
        </w:tc>
        <w:tc>
          <w:tcPr>
            <w:tcW w:w="1820" w:type="dxa"/>
            <w:vAlign w:val="bottom"/>
            <w:tcBorders>
              <w:bottom w:val="single" w:sz="8" w:color="auto"/>
            </w:tcBorders>
          </w:tcPr>
          <w:p>
            <w:pPr>
              <w:spacing w:after="0"/>
              <w:rPr>
                <w:sz w:val="21"/>
                <w:szCs w:val="21"/>
                <w:color w:val="auto"/>
              </w:rPr>
            </w:pPr>
          </w:p>
        </w:tc>
      </w:tr>
      <w:tr>
        <w:trPr>
          <w:trHeight w:val="234"/>
        </w:trPr>
        <w:tc>
          <w:tcPr>
            <w:tcW w:w="4400" w:type="dxa"/>
            <w:vAlign w:val="bottom"/>
          </w:tcPr>
          <w:p>
            <w:pPr>
              <w:spacing w:after="0"/>
              <w:rPr>
                <w:sz w:val="20"/>
                <w:szCs w:val="20"/>
                <w:color w:val="auto"/>
              </w:rPr>
            </w:pPr>
            <w:r>
              <w:rPr>
                <w:rFonts w:ascii="Arial" w:cs="Arial" w:eastAsia="Arial" w:hAnsi="Arial"/>
                <w:sz w:val="17"/>
                <w:szCs w:val="17"/>
                <w:b w:val="1"/>
                <w:bCs w:val="1"/>
                <w:i w:val="1"/>
                <w:iCs w:val="1"/>
                <w:color w:val="auto"/>
              </w:rPr>
              <w:t>Class II - Election to a Term ending in 2029</w:t>
            </w:r>
          </w:p>
        </w:tc>
        <w:tc>
          <w:tcPr>
            <w:tcW w:w="17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26"/>
        </w:trPr>
        <w:tc>
          <w:tcPr>
            <w:tcW w:w="4400" w:type="dxa"/>
            <w:vAlign w:val="bottom"/>
          </w:tcPr>
          <w:p>
            <w:pPr>
              <w:ind w:left="140"/>
              <w:spacing w:after="0"/>
              <w:rPr>
                <w:sz w:val="20"/>
                <w:szCs w:val="20"/>
                <w:color w:val="auto"/>
              </w:rPr>
            </w:pPr>
            <w:r>
              <w:rPr>
                <w:rFonts w:ascii="Arial" w:cs="Arial" w:eastAsia="Arial" w:hAnsi="Arial"/>
                <w:sz w:val="17"/>
                <w:szCs w:val="17"/>
                <w:color w:val="auto"/>
              </w:rPr>
              <w:t>Liam P. Caffrey</w:t>
            </w:r>
          </w:p>
        </w:tc>
        <w:tc>
          <w:tcPr>
            <w:tcW w:w="1720" w:type="dxa"/>
            <w:vAlign w:val="bottom"/>
          </w:tcPr>
          <w:p>
            <w:pPr>
              <w:jc w:val="center"/>
              <w:ind w:left="537"/>
              <w:spacing w:after="0"/>
              <w:rPr>
                <w:sz w:val="20"/>
                <w:szCs w:val="20"/>
                <w:color w:val="auto"/>
              </w:rPr>
            </w:pPr>
            <w:r>
              <w:rPr>
                <w:rFonts w:ascii="Arial" w:cs="Arial" w:eastAsia="Arial" w:hAnsi="Arial"/>
                <w:sz w:val="17"/>
                <w:szCs w:val="17"/>
                <w:color w:val="auto"/>
                <w:w w:val="94"/>
              </w:rPr>
              <w:t>53</w:t>
            </w:r>
          </w:p>
        </w:tc>
        <w:tc>
          <w:tcPr>
            <w:tcW w:w="2180" w:type="dxa"/>
            <w:vAlign w:val="bottom"/>
          </w:tcPr>
          <w:p>
            <w:pPr>
              <w:jc w:val="center"/>
              <w:ind w:left="77"/>
              <w:spacing w:after="0"/>
              <w:rPr>
                <w:sz w:val="20"/>
                <w:szCs w:val="20"/>
                <w:color w:val="auto"/>
              </w:rPr>
            </w:pPr>
            <w:r>
              <w:rPr>
                <w:rFonts w:ascii="Arial" w:cs="Arial" w:eastAsia="Arial" w:hAnsi="Arial"/>
                <w:sz w:val="17"/>
                <w:szCs w:val="17"/>
                <w:color w:val="auto"/>
              </w:rPr>
              <w:t>2026</w:t>
            </w:r>
          </w:p>
        </w:tc>
        <w:tc>
          <w:tcPr>
            <w:tcW w:w="1820" w:type="dxa"/>
            <w:vAlign w:val="bottom"/>
          </w:tcPr>
          <w:p>
            <w:pPr>
              <w:jc w:val="center"/>
              <w:spacing w:after="0"/>
              <w:rPr>
                <w:sz w:val="20"/>
                <w:szCs w:val="20"/>
                <w:color w:val="auto"/>
              </w:rPr>
            </w:pPr>
            <w:r>
              <w:rPr>
                <w:rFonts w:ascii="Arial" w:cs="Arial" w:eastAsia="Arial" w:hAnsi="Arial"/>
                <w:sz w:val="17"/>
                <w:szCs w:val="17"/>
                <w:color w:val="auto"/>
              </w:rPr>
              <w:t>For</w:t>
            </w:r>
          </w:p>
        </w:tc>
      </w:tr>
      <w:tr>
        <w:trPr>
          <w:trHeight w:val="236"/>
        </w:trPr>
        <w:tc>
          <w:tcPr>
            <w:tcW w:w="4400" w:type="dxa"/>
            <w:vAlign w:val="bottom"/>
          </w:tcPr>
          <w:p>
            <w:pPr>
              <w:ind w:left="140"/>
              <w:spacing w:after="0"/>
              <w:rPr>
                <w:sz w:val="20"/>
                <w:szCs w:val="20"/>
                <w:color w:val="auto"/>
              </w:rPr>
            </w:pPr>
            <w:r>
              <w:rPr>
                <w:rFonts w:ascii="Arial" w:cs="Arial" w:eastAsia="Arial" w:hAnsi="Arial"/>
                <w:sz w:val="17"/>
                <w:szCs w:val="17"/>
                <w:color w:val="auto"/>
              </w:rPr>
              <w:t>Mary C. Choksi</w:t>
            </w:r>
          </w:p>
        </w:tc>
        <w:tc>
          <w:tcPr>
            <w:tcW w:w="1720" w:type="dxa"/>
            <w:vAlign w:val="bottom"/>
          </w:tcPr>
          <w:p>
            <w:pPr>
              <w:jc w:val="center"/>
              <w:ind w:left="537"/>
              <w:spacing w:after="0"/>
              <w:rPr>
                <w:sz w:val="20"/>
                <w:szCs w:val="20"/>
                <w:color w:val="auto"/>
              </w:rPr>
            </w:pPr>
            <w:r>
              <w:rPr>
                <w:rFonts w:ascii="Arial" w:cs="Arial" w:eastAsia="Arial" w:hAnsi="Arial"/>
                <w:sz w:val="17"/>
                <w:szCs w:val="17"/>
                <w:color w:val="auto"/>
                <w:w w:val="94"/>
              </w:rPr>
              <w:t>75</w:t>
            </w:r>
          </w:p>
        </w:tc>
        <w:tc>
          <w:tcPr>
            <w:tcW w:w="2180" w:type="dxa"/>
            <w:vAlign w:val="bottom"/>
          </w:tcPr>
          <w:p>
            <w:pPr>
              <w:jc w:val="center"/>
              <w:ind w:left="77"/>
              <w:spacing w:after="0"/>
              <w:rPr>
                <w:sz w:val="20"/>
                <w:szCs w:val="20"/>
                <w:color w:val="auto"/>
              </w:rPr>
            </w:pPr>
            <w:r>
              <w:rPr>
                <w:rFonts w:ascii="Arial" w:cs="Arial" w:eastAsia="Arial" w:hAnsi="Arial"/>
                <w:sz w:val="17"/>
                <w:szCs w:val="17"/>
                <w:color w:val="auto"/>
              </w:rPr>
              <w:t>2017</w:t>
            </w:r>
          </w:p>
        </w:tc>
        <w:tc>
          <w:tcPr>
            <w:tcW w:w="1820" w:type="dxa"/>
            <w:vAlign w:val="bottom"/>
          </w:tcPr>
          <w:p>
            <w:pPr>
              <w:jc w:val="center"/>
              <w:spacing w:after="0"/>
              <w:rPr>
                <w:sz w:val="20"/>
                <w:szCs w:val="20"/>
                <w:color w:val="auto"/>
              </w:rPr>
            </w:pPr>
            <w:r>
              <w:rPr>
                <w:rFonts w:ascii="Arial" w:cs="Arial" w:eastAsia="Arial" w:hAnsi="Arial"/>
                <w:sz w:val="17"/>
                <w:szCs w:val="17"/>
                <w:color w:val="auto"/>
              </w:rPr>
              <w:t>For</w:t>
            </w:r>
          </w:p>
        </w:tc>
      </w:tr>
      <w:tr>
        <w:trPr>
          <w:trHeight w:val="236"/>
        </w:trPr>
        <w:tc>
          <w:tcPr>
            <w:tcW w:w="4400" w:type="dxa"/>
            <w:vAlign w:val="bottom"/>
          </w:tcPr>
          <w:p>
            <w:pPr>
              <w:ind w:left="140"/>
              <w:spacing w:after="0"/>
              <w:rPr>
                <w:sz w:val="20"/>
                <w:szCs w:val="20"/>
                <w:color w:val="auto"/>
              </w:rPr>
            </w:pPr>
            <w:r>
              <w:rPr>
                <w:rFonts w:ascii="Arial" w:cs="Arial" w:eastAsia="Arial" w:hAnsi="Arial"/>
                <w:sz w:val="17"/>
                <w:szCs w:val="17"/>
                <w:color w:val="auto"/>
              </w:rPr>
              <w:t>John K. Chu</w:t>
            </w:r>
          </w:p>
        </w:tc>
        <w:tc>
          <w:tcPr>
            <w:tcW w:w="1720" w:type="dxa"/>
            <w:vAlign w:val="bottom"/>
          </w:tcPr>
          <w:p>
            <w:pPr>
              <w:jc w:val="center"/>
              <w:ind w:left="537"/>
              <w:spacing w:after="0"/>
              <w:rPr>
                <w:sz w:val="20"/>
                <w:szCs w:val="20"/>
                <w:color w:val="auto"/>
              </w:rPr>
            </w:pPr>
            <w:r>
              <w:rPr>
                <w:rFonts w:ascii="Arial" w:cs="Arial" w:eastAsia="Arial" w:hAnsi="Arial"/>
                <w:sz w:val="17"/>
                <w:szCs w:val="17"/>
                <w:color w:val="auto"/>
                <w:w w:val="94"/>
              </w:rPr>
              <w:t>62</w:t>
            </w:r>
          </w:p>
        </w:tc>
        <w:tc>
          <w:tcPr>
            <w:tcW w:w="2180" w:type="dxa"/>
            <w:vAlign w:val="bottom"/>
          </w:tcPr>
          <w:p>
            <w:pPr>
              <w:jc w:val="center"/>
              <w:ind w:left="77"/>
              <w:spacing w:after="0"/>
              <w:rPr>
                <w:sz w:val="20"/>
                <w:szCs w:val="20"/>
                <w:color w:val="auto"/>
              </w:rPr>
            </w:pPr>
            <w:r>
              <w:rPr>
                <w:rFonts w:ascii="Arial" w:cs="Arial" w:eastAsia="Arial" w:hAnsi="Arial"/>
                <w:sz w:val="17"/>
                <w:szCs w:val="17"/>
                <w:color w:val="auto"/>
                <w:w w:val="98"/>
              </w:rPr>
              <w:t>Nominee for election</w:t>
            </w:r>
          </w:p>
        </w:tc>
        <w:tc>
          <w:tcPr>
            <w:tcW w:w="1820" w:type="dxa"/>
            <w:vAlign w:val="bottom"/>
          </w:tcPr>
          <w:p>
            <w:pPr>
              <w:jc w:val="center"/>
              <w:spacing w:after="0"/>
              <w:rPr>
                <w:sz w:val="20"/>
                <w:szCs w:val="20"/>
                <w:color w:val="auto"/>
              </w:rPr>
            </w:pPr>
            <w:r>
              <w:rPr>
                <w:rFonts w:ascii="Arial" w:cs="Arial" w:eastAsia="Arial" w:hAnsi="Arial"/>
                <w:sz w:val="17"/>
                <w:szCs w:val="17"/>
                <w:color w:val="auto"/>
              </w:rPr>
              <w:t>For</w:t>
            </w:r>
          </w:p>
        </w:tc>
      </w:tr>
      <w:tr>
        <w:trPr>
          <w:trHeight w:val="236"/>
        </w:trPr>
        <w:tc>
          <w:tcPr>
            <w:tcW w:w="4400" w:type="dxa"/>
            <w:vAlign w:val="bottom"/>
          </w:tcPr>
          <w:p>
            <w:pPr>
              <w:ind w:left="140"/>
              <w:spacing w:after="0"/>
              <w:rPr>
                <w:sz w:val="20"/>
                <w:szCs w:val="20"/>
                <w:color w:val="auto"/>
              </w:rPr>
            </w:pPr>
            <w:r>
              <w:rPr>
                <w:rFonts w:ascii="Arial" w:cs="Arial" w:eastAsia="Arial" w:hAnsi="Arial"/>
                <w:sz w:val="17"/>
                <w:szCs w:val="17"/>
                <w:color w:val="auto"/>
              </w:rPr>
              <w:t>Weston M. Hicks</w:t>
            </w:r>
          </w:p>
        </w:tc>
        <w:tc>
          <w:tcPr>
            <w:tcW w:w="1720" w:type="dxa"/>
            <w:vAlign w:val="bottom"/>
          </w:tcPr>
          <w:p>
            <w:pPr>
              <w:jc w:val="center"/>
              <w:ind w:left="537"/>
              <w:spacing w:after="0"/>
              <w:rPr>
                <w:sz w:val="20"/>
                <w:szCs w:val="20"/>
                <w:color w:val="auto"/>
              </w:rPr>
            </w:pPr>
            <w:r>
              <w:rPr>
                <w:rFonts w:ascii="Arial" w:cs="Arial" w:eastAsia="Arial" w:hAnsi="Arial"/>
                <w:sz w:val="17"/>
                <w:szCs w:val="17"/>
                <w:color w:val="auto"/>
                <w:w w:val="94"/>
              </w:rPr>
              <w:t>69</w:t>
            </w:r>
          </w:p>
        </w:tc>
        <w:tc>
          <w:tcPr>
            <w:tcW w:w="2180" w:type="dxa"/>
            <w:vAlign w:val="bottom"/>
          </w:tcPr>
          <w:p>
            <w:pPr>
              <w:jc w:val="center"/>
              <w:ind w:left="77"/>
              <w:spacing w:after="0"/>
              <w:rPr>
                <w:sz w:val="20"/>
                <w:szCs w:val="20"/>
                <w:color w:val="auto"/>
              </w:rPr>
            </w:pPr>
            <w:r>
              <w:rPr>
                <w:rFonts w:ascii="Arial" w:cs="Arial" w:eastAsia="Arial" w:hAnsi="Arial"/>
                <w:sz w:val="17"/>
                <w:szCs w:val="17"/>
                <w:color w:val="auto"/>
              </w:rPr>
              <w:t>2023</w:t>
            </w:r>
          </w:p>
        </w:tc>
        <w:tc>
          <w:tcPr>
            <w:tcW w:w="1820" w:type="dxa"/>
            <w:vAlign w:val="bottom"/>
          </w:tcPr>
          <w:p>
            <w:pPr>
              <w:jc w:val="center"/>
              <w:spacing w:after="0"/>
              <w:rPr>
                <w:sz w:val="20"/>
                <w:szCs w:val="20"/>
                <w:color w:val="auto"/>
              </w:rPr>
            </w:pPr>
            <w:r>
              <w:rPr>
                <w:rFonts w:ascii="Arial" w:cs="Arial" w:eastAsia="Arial" w:hAnsi="Arial"/>
                <w:sz w:val="17"/>
                <w:szCs w:val="17"/>
                <w:color w:val="auto"/>
              </w:rPr>
              <w:t>For</w:t>
            </w:r>
          </w:p>
        </w:tc>
      </w:tr>
      <w:tr>
        <w:trPr>
          <w:trHeight w:val="242"/>
        </w:trPr>
        <w:tc>
          <w:tcPr>
            <w:tcW w:w="44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Steven M. Yi *</w:t>
            </w:r>
          </w:p>
        </w:tc>
        <w:tc>
          <w:tcPr>
            <w:tcW w:w="1720" w:type="dxa"/>
            <w:vAlign w:val="bottom"/>
            <w:tcBorders>
              <w:bottom w:val="single" w:sz="8" w:color="auto"/>
            </w:tcBorders>
          </w:tcPr>
          <w:p>
            <w:pPr>
              <w:jc w:val="center"/>
              <w:ind w:left="537"/>
              <w:spacing w:after="0"/>
              <w:rPr>
                <w:sz w:val="20"/>
                <w:szCs w:val="20"/>
                <w:color w:val="auto"/>
              </w:rPr>
            </w:pPr>
            <w:r>
              <w:rPr>
                <w:rFonts w:ascii="Arial" w:cs="Arial" w:eastAsia="Arial" w:hAnsi="Arial"/>
                <w:sz w:val="17"/>
                <w:szCs w:val="17"/>
                <w:color w:val="auto"/>
                <w:w w:val="94"/>
              </w:rPr>
              <w:t>55</w:t>
            </w:r>
          </w:p>
        </w:tc>
        <w:tc>
          <w:tcPr>
            <w:tcW w:w="2180" w:type="dxa"/>
            <w:vAlign w:val="bottom"/>
            <w:tcBorders>
              <w:bottom w:val="single" w:sz="8" w:color="auto"/>
            </w:tcBorders>
          </w:tcPr>
          <w:p>
            <w:pPr>
              <w:jc w:val="center"/>
              <w:ind w:left="77"/>
              <w:spacing w:after="0"/>
              <w:rPr>
                <w:sz w:val="20"/>
                <w:szCs w:val="20"/>
                <w:color w:val="auto"/>
              </w:rPr>
            </w:pPr>
            <w:r>
              <w:rPr>
                <w:rFonts w:ascii="Arial" w:cs="Arial" w:eastAsia="Arial" w:hAnsi="Arial"/>
                <w:sz w:val="17"/>
                <w:szCs w:val="17"/>
                <w:color w:val="auto"/>
              </w:rPr>
              <w:t>2023</w:t>
            </w:r>
          </w:p>
        </w:tc>
        <w:tc>
          <w:tcPr>
            <w:tcW w:w="1820" w:type="dxa"/>
            <w:vAlign w:val="bottom"/>
            <w:tcBorders>
              <w:bottom w:val="single" w:sz="8" w:color="auto"/>
            </w:tcBorders>
          </w:tcPr>
          <w:p>
            <w:pPr>
              <w:spacing w:after="0"/>
              <w:rPr>
                <w:sz w:val="21"/>
                <w:szCs w:val="21"/>
                <w:color w:val="auto"/>
              </w:rPr>
            </w:pPr>
          </w:p>
        </w:tc>
      </w:tr>
      <w:tr>
        <w:trPr>
          <w:trHeight w:val="234"/>
        </w:trPr>
        <w:tc>
          <w:tcPr>
            <w:tcW w:w="4400" w:type="dxa"/>
            <w:vAlign w:val="bottom"/>
          </w:tcPr>
          <w:p>
            <w:pPr>
              <w:spacing w:after="0"/>
              <w:rPr>
                <w:sz w:val="20"/>
                <w:szCs w:val="20"/>
                <w:color w:val="auto"/>
              </w:rPr>
            </w:pPr>
            <w:r>
              <w:rPr>
                <w:rFonts w:ascii="Arial" w:cs="Arial" w:eastAsia="Arial" w:hAnsi="Arial"/>
                <w:sz w:val="17"/>
                <w:szCs w:val="17"/>
                <w:b w:val="1"/>
                <w:bCs w:val="1"/>
                <w:i w:val="1"/>
                <w:iCs w:val="1"/>
                <w:color w:val="auto"/>
              </w:rPr>
              <w:t>Class III – Term ending in 2027</w:t>
            </w:r>
          </w:p>
        </w:tc>
        <w:tc>
          <w:tcPr>
            <w:tcW w:w="17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26"/>
        </w:trPr>
        <w:tc>
          <w:tcPr>
            <w:tcW w:w="4400" w:type="dxa"/>
            <w:vAlign w:val="bottom"/>
          </w:tcPr>
          <w:p>
            <w:pPr>
              <w:ind w:left="140"/>
              <w:spacing w:after="0"/>
              <w:rPr>
                <w:sz w:val="20"/>
                <w:szCs w:val="20"/>
                <w:color w:val="auto"/>
              </w:rPr>
            </w:pPr>
            <w:r>
              <w:rPr>
                <w:rFonts w:ascii="Arial" w:cs="Arial" w:eastAsia="Arial" w:hAnsi="Arial"/>
                <w:sz w:val="17"/>
                <w:szCs w:val="17"/>
                <w:color w:val="auto"/>
              </w:rPr>
              <w:t>Margaret Dillon</w:t>
            </w:r>
          </w:p>
        </w:tc>
        <w:tc>
          <w:tcPr>
            <w:tcW w:w="1720" w:type="dxa"/>
            <w:vAlign w:val="bottom"/>
          </w:tcPr>
          <w:p>
            <w:pPr>
              <w:jc w:val="center"/>
              <w:ind w:left="537"/>
              <w:spacing w:after="0"/>
              <w:rPr>
                <w:sz w:val="20"/>
                <w:szCs w:val="20"/>
                <w:color w:val="auto"/>
              </w:rPr>
            </w:pPr>
            <w:r>
              <w:rPr>
                <w:rFonts w:ascii="Arial" w:cs="Arial" w:eastAsia="Arial" w:hAnsi="Arial"/>
                <w:sz w:val="17"/>
                <w:szCs w:val="17"/>
                <w:color w:val="auto"/>
                <w:w w:val="94"/>
              </w:rPr>
              <w:t>66</w:t>
            </w:r>
          </w:p>
        </w:tc>
        <w:tc>
          <w:tcPr>
            <w:tcW w:w="2180" w:type="dxa"/>
            <w:vAlign w:val="bottom"/>
          </w:tcPr>
          <w:p>
            <w:pPr>
              <w:jc w:val="center"/>
              <w:ind w:left="77"/>
              <w:spacing w:after="0"/>
              <w:rPr>
                <w:sz w:val="20"/>
                <w:szCs w:val="20"/>
                <w:color w:val="auto"/>
              </w:rPr>
            </w:pPr>
            <w:r>
              <w:rPr>
                <w:rFonts w:ascii="Arial" w:cs="Arial" w:eastAsia="Arial" w:hAnsi="Arial"/>
                <w:sz w:val="17"/>
                <w:szCs w:val="17"/>
                <w:color w:val="auto"/>
              </w:rPr>
              <w:t>2021</w:t>
            </w:r>
          </w:p>
        </w:tc>
        <w:tc>
          <w:tcPr>
            <w:tcW w:w="1820" w:type="dxa"/>
            <w:vAlign w:val="bottom"/>
          </w:tcPr>
          <w:p>
            <w:pPr>
              <w:spacing w:after="0"/>
              <w:rPr>
                <w:sz w:val="19"/>
                <w:szCs w:val="19"/>
                <w:color w:val="auto"/>
              </w:rPr>
            </w:pPr>
          </w:p>
        </w:tc>
      </w:tr>
      <w:tr>
        <w:trPr>
          <w:trHeight w:val="236"/>
        </w:trPr>
        <w:tc>
          <w:tcPr>
            <w:tcW w:w="4400" w:type="dxa"/>
            <w:vAlign w:val="bottom"/>
          </w:tcPr>
          <w:p>
            <w:pPr>
              <w:ind w:left="140"/>
              <w:spacing w:after="0"/>
              <w:rPr>
                <w:sz w:val="20"/>
                <w:szCs w:val="20"/>
                <w:color w:val="auto"/>
              </w:rPr>
            </w:pPr>
            <w:r>
              <w:rPr>
                <w:rFonts w:ascii="Arial" w:cs="Arial" w:eastAsia="Arial" w:hAnsi="Arial"/>
                <w:sz w:val="17"/>
                <w:szCs w:val="17"/>
                <w:color w:val="auto"/>
              </w:rPr>
              <w:t>Philip A. Gelston</w:t>
            </w:r>
          </w:p>
        </w:tc>
        <w:tc>
          <w:tcPr>
            <w:tcW w:w="1720" w:type="dxa"/>
            <w:vAlign w:val="bottom"/>
          </w:tcPr>
          <w:p>
            <w:pPr>
              <w:jc w:val="center"/>
              <w:ind w:left="537"/>
              <w:spacing w:after="0"/>
              <w:rPr>
                <w:sz w:val="20"/>
                <w:szCs w:val="20"/>
                <w:color w:val="auto"/>
              </w:rPr>
            </w:pPr>
            <w:r>
              <w:rPr>
                <w:rFonts w:ascii="Arial" w:cs="Arial" w:eastAsia="Arial" w:hAnsi="Arial"/>
                <w:sz w:val="17"/>
                <w:szCs w:val="17"/>
                <w:color w:val="auto"/>
                <w:w w:val="94"/>
              </w:rPr>
              <w:t>73</w:t>
            </w:r>
          </w:p>
        </w:tc>
        <w:tc>
          <w:tcPr>
            <w:tcW w:w="2180" w:type="dxa"/>
            <w:vAlign w:val="bottom"/>
          </w:tcPr>
          <w:p>
            <w:pPr>
              <w:jc w:val="center"/>
              <w:ind w:left="77"/>
              <w:spacing w:after="0"/>
              <w:rPr>
                <w:sz w:val="20"/>
                <w:szCs w:val="20"/>
                <w:color w:val="auto"/>
              </w:rPr>
            </w:pPr>
            <w:r>
              <w:rPr>
                <w:rFonts w:ascii="Arial" w:cs="Arial" w:eastAsia="Arial" w:hAnsi="Arial"/>
                <w:sz w:val="17"/>
                <w:szCs w:val="17"/>
                <w:color w:val="auto"/>
              </w:rPr>
              <w:t>2018</w:t>
            </w:r>
          </w:p>
        </w:tc>
        <w:tc>
          <w:tcPr>
            <w:tcW w:w="1820" w:type="dxa"/>
            <w:vAlign w:val="bottom"/>
          </w:tcPr>
          <w:p>
            <w:pPr>
              <w:spacing w:after="0"/>
              <w:rPr>
                <w:sz w:val="20"/>
                <w:szCs w:val="20"/>
                <w:color w:val="auto"/>
              </w:rPr>
            </w:pPr>
          </w:p>
        </w:tc>
      </w:tr>
      <w:tr>
        <w:trPr>
          <w:trHeight w:val="242"/>
        </w:trPr>
        <w:tc>
          <w:tcPr>
            <w:tcW w:w="44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David A. Tanner</w:t>
            </w:r>
          </w:p>
        </w:tc>
        <w:tc>
          <w:tcPr>
            <w:tcW w:w="1720" w:type="dxa"/>
            <w:vAlign w:val="bottom"/>
            <w:tcBorders>
              <w:bottom w:val="single" w:sz="8" w:color="auto"/>
            </w:tcBorders>
          </w:tcPr>
          <w:p>
            <w:pPr>
              <w:jc w:val="center"/>
              <w:ind w:left="537"/>
              <w:spacing w:after="0"/>
              <w:rPr>
                <w:sz w:val="20"/>
                <w:szCs w:val="20"/>
                <w:color w:val="auto"/>
              </w:rPr>
            </w:pPr>
            <w:r>
              <w:rPr>
                <w:rFonts w:ascii="Arial" w:cs="Arial" w:eastAsia="Arial" w:hAnsi="Arial"/>
                <w:sz w:val="17"/>
                <w:szCs w:val="17"/>
                <w:color w:val="auto"/>
                <w:w w:val="94"/>
              </w:rPr>
              <w:t>67</w:t>
            </w:r>
          </w:p>
        </w:tc>
        <w:tc>
          <w:tcPr>
            <w:tcW w:w="2180" w:type="dxa"/>
            <w:vAlign w:val="bottom"/>
            <w:tcBorders>
              <w:bottom w:val="single" w:sz="8" w:color="auto"/>
            </w:tcBorders>
          </w:tcPr>
          <w:p>
            <w:pPr>
              <w:jc w:val="center"/>
              <w:ind w:left="77"/>
              <w:spacing w:after="0"/>
              <w:rPr>
                <w:sz w:val="20"/>
                <w:szCs w:val="20"/>
                <w:color w:val="auto"/>
              </w:rPr>
            </w:pPr>
            <w:r>
              <w:rPr>
                <w:rFonts w:ascii="Arial" w:cs="Arial" w:eastAsia="Arial" w:hAnsi="Arial"/>
                <w:sz w:val="17"/>
                <w:szCs w:val="17"/>
                <w:color w:val="auto"/>
              </w:rPr>
              <w:t>2018</w:t>
            </w:r>
          </w:p>
        </w:tc>
        <w:tc>
          <w:tcPr>
            <w:tcW w:w="1820" w:type="dxa"/>
            <w:vAlign w:val="bottom"/>
            <w:tcBorders>
              <w:bottom w:val="single" w:sz="8" w:color="auto"/>
            </w:tcBorders>
          </w:tcPr>
          <w:p>
            <w:pPr>
              <w:spacing w:after="0"/>
              <w:rPr>
                <w:sz w:val="21"/>
                <w:szCs w:val="21"/>
                <w:color w:val="auto"/>
              </w:rPr>
            </w:pPr>
          </w:p>
        </w:tc>
      </w:tr>
    </w:tbl>
    <w:p>
      <w:pPr>
        <w:spacing w:after="0" w:line="7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Not standing for reelection at completion of current term, which ends as of the 2026 Annual General Meeting.</w:t>
      </w:r>
    </w:p>
    <w:p>
      <w:pPr>
        <w:spacing w:after="0" w:line="360" w:lineRule="exact"/>
        <w:rPr>
          <w:sz w:val="20"/>
          <w:szCs w:val="20"/>
          <w:color w:val="auto"/>
        </w:rPr>
      </w:pPr>
    </w:p>
    <w:p>
      <w:pPr>
        <w:jc w:val="both"/>
        <w:ind w:right="80" w:firstLine="299"/>
        <w:spacing w:after="0" w:line="250" w:lineRule="auto"/>
        <w:rPr>
          <w:sz w:val="20"/>
          <w:szCs w:val="20"/>
          <w:color w:val="auto"/>
        </w:rPr>
      </w:pPr>
      <w:r>
        <w:rPr>
          <w:rFonts w:ascii="Arial" w:cs="Arial" w:eastAsia="Arial" w:hAnsi="Arial"/>
          <w:sz w:val="18"/>
          <w:szCs w:val="18"/>
          <w:color w:val="auto"/>
        </w:rPr>
        <w:t>The Board is currently comprised of seven independent directors and three non-independent directors (including the Chief Executive Officer). If Mr. Chu and the other director nominees are elected by shareholders at the 2026 Annual General Meeting, the board will have ten directors, of which seven will be independent.</w:t>
      </w:r>
    </w:p>
    <w:p>
      <w:pPr>
        <w:spacing w:after="0" w:line="34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100"/>
          </w:cols>
          <w:pgMar w:left="320" w:top="991" w:right="4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Board Composition and Refreshment</w:t>
      </w:r>
    </w:p>
    <w:p>
      <w:pPr>
        <w:spacing w:after="0" w:line="189" w:lineRule="exact"/>
        <w:rPr>
          <w:sz w:val="20"/>
          <w:szCs w:val="20"/>
          <w:color w:val="auto"/>
        </w:rPr>
      </w:pPr>
    </w:p>
    <w:p>
      <w:pPr>
        <w:ind w:right="640" w:firstLine="299"/>
        <w:spacing w:after="0" w:line="270" w:lineRule="auto"/>
        <w:rPr>
          <w:sz w:val="20"/>
          <w:szCs w:val="20"/>
          <w:color w:val="auto"/>
        </w:rPr>
      </w:pPr>
      <w:r>
        <w:rPr>
          <w:rFonts w:ascii="Arial" w:cs="Arial" w:eastAsia="Arial" w:hAnsi="Arial"/>
          <w:sz w:val="18"/>
          <w:szCs w:val="18"/>
          <w:color w:val="auto"/>
        </w:rPr>
        <w:t>The Board is committed to regularly refresh its membership to enhance the diversity of its skills, experience and backgrounds to effectively oversee the business as the Company evolves and to promote independent thinking.</w:t>
      </w:r>
    </w:p>
    <w:p>
      <w:pPr>
        <w:spacing w:after="0" w:line="132" w:lineRule="exact"/>
        <w:rPr>
          <w:sz w:val="20"/>
          <w:szCs w:val="20"/>
          <w:color w:val="auto"/>
        </w:rPr>
      </w:pPr>
    </w:p>
    <w:p>
      <w:pPr>
        <w:ind w:right="460" w:firstLine="299"/>
        <w:spacing w:after="0" w:line="250" w:lineRule="auto"/>
        <w:rPr>
          <w:sz w:val="20"/>
          <w:szCs w:val="20"/>
          <w:color w:val="auto"/>
        </w:rPr>
      </w:pPr>
      <w:r>
        <w:rPr>
          <w:rFonts w:ascii="Arial" w:cs="Arial" w:eastAsia="Arial" w:hAnsi="Arial"/>
          <w:sz w:val="18"/>
          <w:szCs w:val="18"/>
          <w:color w:val="auto"/>
        </w:rPr>
        <w:t>With Mr. Yi not standing for reelection at the end of his current term, the Compensation/Nominating &amp; Governance Committee has approved Mr. Chu for nomination to be elected at the 2026 Annual General Meeting. Mr. Chu brings over thirty years of executive, financial and insurance industry experience and is the Founder and Chief Executive Officer of Bamboo Insurance.</w:t>
      </w:r>
    </w:p>
    <w:p>
      <w:pPr>
        <w:spacing w:after="0" w:line="150" w:lineRule="exact"/>
        <w:rPr>
          <w:sz w:val="20"/>
          <w:szCs w:val="20"/>
          <w:color w:val="auto"/>
        </w:rPr>
      </w:pPr>
    </w:p>
    <w:p>
      <w:pPr>
        <w:ind w:firstLine="299"/>
        <w:spacing w:after="0"/>
        <w:rPr>
          <w:sz w:val="20"/>
          <w:szCs w:val="20"/>
          <w:color w:val="auto"/>
        </w:rPr>
      </w:pPr>
      <w:r>
        <w:rPr>
          <w:rFonts w:ascii="Arial" w:cs="Arial" w:eastAsia="Arial" w:hAnsi="Arial"/>
          <w:sz w:val="18"/>
          <w:szCs w:val="18"/>
          <w:color w:val="auto"/>
        </w:rPr>
        <w:t>With respect to independence, of ten current directors, seven are independent, with 100% independence on the Audit and Compensation/Nominating &amp; Governance committees. The Board’s overall diverse representation is 40%, of which gender diversity is 30% and racial/ethnic diversity is 20%. If the director nominees are elected by shareholders at the 2026 Annual General Meeting, the Board will continue to have ten directors, of which seven will be independent and the Board’s overall diverse representation will be 40%, of which gender diversity will be 30% and racial/ethnic diversity will be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170180</wp:posOffset>
            </wp:positionV>
            <wp:extent cx="4013835" cy="50412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13835" cy="5041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100" w:right="2360"/>
        <w:spacing w:after="0" w:line="256" w:lineRule="auto"/>
        <w:rPr>
          <w:sz w:val="20"/>
          <w:szCs w:val="20"/>
          <w:color w:val="auto"/>
        </w:rPr>
      </w:pPr>
      <w:r>
        <w:rPr>
          <w:rFonts w:ascii="Arial" w:cs="Arial" w:eastAsia="Arial" w:hAnsi="Arial"/>
          <w:sz w:val="17"/>
          <w:szCs w:val="17"/>
          <w:color w:val="auto"/>
        </w:rPr>
        <w:t>Reflects Board composition and refreshment statistics if director nominees are elected at the 2026 Annual General Meeting</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20"/>
          </w:cols>
          <w:pgMar w:left="320" w:top="817"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Director Skills and Qualifications</w:t>
      </w:r>
    </w:p>
    <w:p>
      <w:pPr>
        <w:spacing w:after="0" w:line="189" w:lineRule="exact"/>
        <w:rPr>
          <w:sz w:val="20"/>
          <w:szCs w:val="20"/>
          <w:color w:val="auto"/>
        </w:rPr>
      </w:pPr>
    </w:p>
    <w:p>
      <w:pPr>
        <w:ind w:right="60" w:firstLine="299"/>
        <w:spacing w:after="0" w:line="237" w:lineRule="auto"/>
        <w:rPr>
          <w:sz w:val="20"/>
          <w:szCs w:val="20"/>
          <w:color w:val="auto"/>
        </w:rPr>
      </w:pPr>
      <w:r>
        <w:rPr>
          <w:rFonts w:ascii="Arial" w:cs="Arial" w:eastAsia="Arial" w:hAnsi="Arial"/>
          <w:sz w:val="18"/>
          <w:szCs w:val="18"/>
          <w:color w:val="auto"/>
        </w:rPr>
        <w:t>Our Board seeks Directors with a broad range of skills, experience and backgrounds in order to ensure effective oversight of the Company’s strategies and risks. The Board believes its members must be willing and able to devote adequate time and effort to Board responsibilities. In evaluating director candidates, the Compensation/Nominating &amp; Governance Committee evaluates attributes such as independence, integrity, expertise, breadth of experience, knowledge about the Company’s business and industry and ownership in the Company. The skills matrix below highlights our Board’s key skills and qualifications that are directly relevant to our business, strategy and operations. The Board reviews this matrix and the overall Board composition periodically in order to ensure the appropriate balance of skills, experience and backgrounds.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6297295" cy="61709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7295" cy="6170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lack of a checkmark for a particular item does not mean that the director does not possess that qualification, skill or experience, but rather the checkmark indicates that the item is a particularly prominent qualification, skill or experience that the director brings to the Board.</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00"/>
          </w:cols>
          <w:pgMar w:left="320" w:top="805"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 –Term Ending in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7143115" cy="3397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3115" cy="339725"/>
                    </a:xfrm>
                    <a:prstGeom prst="rect">
                      <a:avLst/>
                    </a:prstGeom>
                    <a:noFill/>
                  </pic:spPr>
                </pic:pic>
              </a:graphicData>
            </a:graphic>
          </wp:anchor>
        </w:drawing>
      </w:r>
    </w:p>
    <w:p>
      <w:pPr>
        <w:sectPr>
          <w:pgSz w:w="11900" w:h="16838" w:orient="portrait"/>
          <w:cols w:equalWidth="0" w:num="1">
            <w:col w:w="11080"/>
          </w:cols>
          <w:pgMar w:left="320" w:top="817" w:right="499" w:bottom="1440" w:gutter="0" w:footer="0" w:header="0"/>
        </w:sectPr>
      </w:pPr>
    </w:p>
    <w:p>
      <w:pPr>
        <w:spacing w:after="0" w:line="368" w:lineRule="exact"/>
        <w:rPr>
          <w:sz w:val="20"/>
          <w:szCs w:val="20"/>
          <w:color w:val="auto"/>
        </w:rPr>
      </w:pPr>
    </w:p>
    <w:p>
      <w:pPr>
        <w:ind w:left="740"/>
        <w:spacing w:after="0"/>
        <w:rPr>
          <w:sz w:val="20"/>
          <w:szCs w:val="20"/>
          <w:color w:val="auto"/>
        </w:rPr>
      </w:pPr>
      <w:r>
        <w:rPr>
          <w:rFonts w:ascii="Arial" w:cs="Arial" w:eastAsia="Arial" w:hAnsi="Arial"/>
          <w:sz w:val="17"/>
          <w:szCs w:val="17"/>
          <w:b w:val="1"/>
          <w:bCs w:val="1"/>
          <w:color w:val="FFFFFF"/>
        </w:rPr>
        <w:t>Reid T.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241935</wp:posOffset>
            </wp:positionV>
            <wp:extent cx="963930" cy="12249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63930" cy="1224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w:t>
      </w:r>
      <w:r>
        <w:rPr>
          <w:rFonts w:ascii="Arial" w:cs="Arial" w:eastAsia="Arial" w:hAnsi="Arial"/>
          <w:sz w:val="17"/>
          <w:szCs w:val="17"/>
          <w:color w:val="auto"/>
        </w:rPr>
        <w:t>Joined in 2024</w:t>
      </w:r>
    </w:p>
    <w:p>
      <w:pPr>
        <w:spacing w:after="0" w:line="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w:t>
      </w:r>
      <w:r>
        <w:rPr>
          <w:rFonts w:ascii="Arial" w:cs="Arial" w:eastAsia="Arial" w:hAnsi="Arial"/>
          <w:sz w:val="17"/>
          <w:szCs w:val="17"/>
          <w:color w:val="auto"/>
        </w:rPr>
        <w:t>Age: 58</w:t>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       </w:t>
      </w:r>
      <w:r>
        <w:rPr>
          <w:rFonts w:ascii="Arial" w:cs="Arial" w:eastAsia="Arial" w:hAnsi="Arial"/>
          <w:sz w:val="15"/>
          <w:szCs w:val="15"/>
          <w:color w:val="auto"/>
        </w:rPr>
        <w:t>Committee: Finance</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FFFFFF"/>
        </w:rPr>
        <w:t>Qualifications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Experience:</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w:t>
      </w:r>
      <w:r>
        <w:rPr>
          <w:rFonts w:ascii="Arial" w:cs="Arial" w:eastAsia="Arial" w:hAnsi="Arial"/>
          <w:sz w:val="17"/>
          <w:szCs w:val="17"/>
          <w:color w:val="auto"/>
        </w:rPr>
        <w:t>President of White Mountains Insurance Group, Ltd. from 2022 to February 2024</w:t>
      </w:r>
    </w:p>
    <w:p>
      <w:pPr>
        <w:spacing w:after="0" w:line="3" w:lineRule="exact"/>
        <w:rPr>
          <w:sz w:val="20"/>
          <w:szCs w:val="20"/>
          <w:color w:val="auto"/>
        </w:rPr>
      </w:pPr>
    </w:p>
    <w:p>
      <w:pPr>
        <w:ind w:left="60" w:right="260"/>
        <w:spacing w:after="0" w:line="243" w:lineRule="auto"/>
        <w:rPr>
          <w:sz w:val="20"/>
          <w:szCs w:val="20"/>
          <w:color w:val="auto"/>
        </w:rPr>
      </w:pPr>
      <w:r>
        <w:rPr>
          <w:rFonts w:ascii="Times New Roman" w:cs="Times New Roman" w:eastAsia="Times New Roman" w:hAnsi="Times New Roman"/>
          <w:sz w:val="17"/>
          <w:szCs w:val="17"/>
          <w:color w:val="auto"/>
        </w:rPr>
        <w:t>●     </w:t>
      </w:r>
      <w:r>
        <w:rPr>
          <w:rFonts w:ascii="Arial" w:cs="Arial" w:eastAsia="Arial" w:hAnsi="Arial"/>
          <w:sz w:val="17"/>
          <w:szCs w:val="17"/>
          <w:color w:val="auto"/>
        </w:rPr>
        <w:t>Prior to being named President, served as Chief Financial Officer of White Mountains from 2017 to 2022</w:t>
      </w:r>
      <w:r>
        <w:rPr>
          <w:rFonts w:ascii="Times New Roman" w:cs="Times New Roman" w:eastAsia="Times New Roman" w:hAnsi="Times New Roman"/>
          <w:sz w:val="17"/>
          <w:szCs w:val="17"/>
          <w:color w:val="auto"/>
        </w:rPr>
        <w:t xml:space="preserve"> ●     </w:t>
      </w:r>
      <w:r>
        <w:rPr>
          <w:rFonts w:ascii="Arial" w:cs="Arial" w:eastAsia="Arial" w:hAnsi="Arial"/>
          <w:sz w:val="17"/>
          <w:szCs w:val="17"/>
          <w:color w:val="auto"/>
        </w:rPr>
        <w:t>President of White Mountains Advisors from 2015 to 2017</w:t>
      </w:r>
    </w:p>
    <w:p>
      <w:pPr>
        <w:spacing w:after="0" w:line="1" w:lineRule="exact"/>
        <w:rPr>
          <w:sz w:val="20"/>
          <w:szCs w:val="20"/>
          <w:color w:val="auto"/>
        </w:rPr>
      </w:pPr>
    </w:p>
    <w:p>
      <w:pPr>
        <w:ind w:left="360" w:right="260" w:hanging="298"/>
        <w:spacing w:after="0" w:line="235" w:lineRule="auto"/>
        <w:rPr>
          <w:sz w:val="20"/>
          <w:szCs w:val="20"/>
          <w:color w:val="auto"/>
        </w:rPr>
      </w:pPr>
      <w:r>
        <w:rPr>
          <w:rFonts w:ascii="Times New Roman" w:cs="Times New Roman" w:eastAsia="Times New Roman" w:hAnsi="Times New Roman"/>
          <w:sz w:val="17"/>
          <w:szCs w:val="17"/>
          <w:color w:val="auto"/>
        </w:rPr>
        <w:t>●     </w:t>
      </w:r>
      <w:r>
        <w:rPr>
          <w:rFonts w:ascii="Arial" w:cs="Arial" w:eastAsia="Arial" w:hAnsi="Arial"/>
          <w:sz w:val="17"/>
          <w:szCs w:val="17"/>
          <w:color w:val="auto"/>
        </w:rPr>
        <w:t>Held a variety of financial management positions with White Mountains and its subsidiaries from 1994 to</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2015</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w:t>
      </w:r>
      <w:r>
        <w:rPr>
          <w:rFonts w:ascii="Arial" w:cs="Arial" w:eastAsia="Arial" w:hAnsi="Arial"/>
          <w:sz w:val="17"/>
          <w:szCs w:val="17"/>
          <w:color w:val="auto"/>
        </w:rPr>
        <w:t>Prior to joining White Mountains, spent three years with KPMG</w:t>
      </w:r>
    </w:p>
    <w:p>
      <w:pPr>
        <w:spacing w:after="0" w:line="213"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i w:val="1"/>
          <w:iCs w:val="1"/>
          <w:color w:val="auto"/>
        </w:rPr>
        <w:t>Mr. Campbell has extensive financial and management expertise gained over the course of his more than 30-year career in the insurance and financial services industries.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 Board Service:</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w:t>
      </w:r>
      <w:r>
        <w:rPr>
          <w:rFonts w:ascii="Arial" w:cs="Arial" w:eastAsia="Arial" w:hAnsi="Arial"/>
          <w:sz w:val="17"/>
          <w:szCs w:val="17"/>
          <w:color w:val="auto"/>
        </w:rPr>
        <w:t>Build America Mutual Assurance Co. (Private)</w:t>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w:t>
      </w:r>
      <w:r>
        <w:rPr>
          <w:rFonts w:ascii="Arial" w:cs="Arial" w:eastAsia="Arial" w:hAnsi="Arial"/>
          <w:sz w:val="17"/>
          <w:szCs w:val="17"/>
          <w:color w:val="auto"/>
        </w:rPr>
        <w:t>Ark Insurance Holdings Limited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-1853565</wp:posOffset>
            </wp:positionH>
            <wp:positionV relativeFrom="paragraph">
              <wp:posOffset>389255</wp:posOffset>
            </wp:positionV>
            <wp:extent cx="7143115" cy="3397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3115" cy="339725"/>
                    </a:xfrm>
                    <a:prstGeom prst="rect">
                      <a:avLst/>
                    </a:prstGeom>
                    <a:noFill/>
                  </pic:spPr>
                </pic:pic>
              </a:graphicData>
            </a:graphic>
          </wp:anchor>
        </w:drawing>
      </w:r>
    </w:p>
    <w:p>
      <w:pPr>
        <w:spacing w:after="0" w:line="301" w:lineRule="exact"/>
        <w:rPr>
          <w:sz w:val="20"/>
          <w:szCs w:val="20"/>
          <w:color w:val="auto"/>
        </w:rPr>
      </w:pPr>
    </w:p>
    <w:p>
      <w:pPr>
        <w:sectPr>
          <w:pgSz w:w="11900" w:h="16838" w:orient="portrait"/>
          <w:cols w:equalWidth="0" w:num="2">
            <w:col w:w="2200" w:space="720"/>
            <w:col w:w="8160"/>
          </w:cols>
          <w:pgMar w:left="320" w:top="817" w:right="499"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FFFFFF"/>
        </w:rPr>
        <w:t>Peter M.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241935</wp:posOffset>
            </wp:positionV>
            <wp:extent cx="1185545" cy="13277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85545" cy="1327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w:t>
      </w:r>
      <w:r>
        <w:rPr>
          <w:rFonts w:ascii="Arial" w:cs="Arial" w:eastAsia="Arial" w:hAnsi="Arial"/>
          <w:sz w:val="17"/>
          <w:szCs w:val="17"/>
          <w:color w:val="auto"/>
        </w:rPr>
        <w:t>Joined in 2019</w:t>
      </w:r>
    </w:p>
    <w:p>
      <w:pPr>
        <w:spacing w:after="0" w:line="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w:t>
      </w:r>
      <w:r>
        <w:rPr>
          <w:rFonts w:ascii="Arial" w:cs="Arial" w:eastAsia="Arial" w:hAnsi="Arial"/>
          <w:sz w:val="17"/>
          <w:szCs w:val="17"/>
          <w:color w:val="auto"/>
        </w:rPr>
        <w:t>Age: 61</w:t>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      </w:t>
      </w:r>
      <w:r>
        <w:rPr>
          <w:rFonts w:ascii="Arial" w:cs="Arial" w:eastAsia="Arial" w:hAnsi="Arial"/>
          <w:sz w:val="15"/>
          <w:szCs w:val="15"/>
          <w:color w:val="auto"/>
        </w:rPr>
        <w:t>Committees: Audit (Chair),</w:t>
      </w:r>
    </w:p>
    <w:p>
      <w:pPr>
        <w:spacing w:after="0" w:line="2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FFFFFF"/>
        </w:rPr>
        <w:t>Qualifications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Experience:</w:t>
      </w:r>
    </w:p>
    <w:p>
      <w:pPr>
        <w:spacing w:after="0" w:line="7" w:lineRule="exact"/>
        <w:rPr>
          <w:sz w:val="20"/>
          <w:szCs w:val="20"/>
          <w:color w:val="auto"/>
        </w:rPr>
      </w:pPr>
    </w:p>
    <w:p>
      <w:pPr>
        <w:ind w:left="600" w:right="300" w:hanging="298"/>
        <w:spacing w:after="0" w:line="235" w:lineRule="auto"/>
        <w:rPr>
          <w:sz w:val="20"/>
          <w:szCs w:val="20"/>
          <w:color w:val="auto"/>
        </w:rPr>
      </w:pPr>
      <w:r>
        <w:rPr>
          <w:rFonts w:ascii="Times New Roman" w:cs="Times New Roman" w:eastAsia="Times New Roman" w:hAnsi="Times New Roman"/>
          <w:sz w:val="17"/>
          <w:szCs w:val="17"/>
          <w:color w:val="auto"/>
        </w:rPr>
        <w:t>●      </w:t>
      </w:r>
      <w:r>
        <w:rPr>
          <w:rFonts w:ascii="Arial" w:cs="Arial" w:eastAsia="Arial" w:hAnsi="Arial"/>
          <w:sz w:val="17"/>
          <w:szCs w:val="17"/>
          <w:color w:val="auto"/>
        </w:rPr>
        <w:t>Chief Executive Officer of Spectral AI, Inc., an artificial intelligence (AI) company focused on medical</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diagnostics, from February to October 2024</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      </w:t>
      </w:r>
      <w:r>
        <w:rPr>
          <w:rFonts w:ascii="Arial" w:cs="Arial" w:eastAsia="Arial" w:hAnsi="Arial"/>
          <w:sz w:val="17"/>
          <w:szCs w:val="17"/>
          <w:color w:val="auto"/>
        </w:rPr>
        <w:t>Chief Financial Officer of Spectral AI, Inc., from January 2024 to February 2024</w:t>
      </w: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      </w:t>
      </w:r>
      <w:r>
        <w:rPr>
          <w:rFonts w:ascii="Arial" w:cs="Arial" w:eastAsia="Arial" w:hAnsi="Arial"/>
          <w:sz w:val="17"/>
          <w:szCs w:val="17"/>
          <w:color w:val="auto"/>
        </w:rPr>
        <w:t>Chief Financial Officer of MiMedx Group, a biopharmaceutical company, from 2019 to 2023</w:t>
      </w:r>
    </w:p>
    <w:p>
      <w:pPr>
        <w:spacing w:after="0" w:line="3" w:lineRule="exact"/>
        <w:rPr>
          <w:sz w:val="20"/>
          <w:szCs w:val="20"/>
          <w:color w:val="auto"/>
        </w:rPr>
      </w:pPr>
    </w:p>
    <w:p>
      <w:pPr>
        <w:ind w:left="600" w:right="200" w:hanging="298"/>
        <w:spacing w:after="0" w:line="235" w:lineRule="auto"/>
        <w:rPr>
          <w:sz w:val="20"/>
          <w:szCs w:val="20"/>
          <w:color w:val="auto"/>
        </w:rPr>
      </w:pPr>
      <w:r>
        <w:rPr>
          <w:rFonts w:ascii="Times New Roman" w:cs="Times New Roman" w:eastAsia="Times New Roman" w:hAnsi="Times New Roman"/>
          <w:sz w:val="17"/>
          <w:szCs w:val="17"/>
          <w:color w:val="auto"/>
        </w:rPr>
        <w:t>●      </w:t>
      </w:r>
      <w:r>
        <w:rPr>
          <w:rFonts w:ascii="Arial" w:cs="Arial" w:eastAsia="Arial" w:hAnsi="Arial"/>
          <w:sz w:val="17"/>
          <w:szCs w:val="17"/>
          <w:color w:val="auto"/>
        </w:rPr>
        <w:t>Executive Vice President and Chief Operating Officer of Brighthouse Financial, a U.S. annuity and life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insurance company that spun off from MetLife, from 2017 to 2018</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      </w:t>
      </w:r>
      <w:r>
        <w:rPr>
          <w:rFonts w:ascii="Arial" w:cs="Arial" w:eastAsia="Arial" w:hAnsi="Arial"/>
          <w:sz w:val="17"/>
          <w:szCs w:val="17"/>
          <w:color w:val="auto"/>
        </w:rPr>
        <w:t>Executive Vice President and Chief Accounting Officer at MetLife from 2009 to 2017</w:t>
      </w:r>
    </w:p>
    <w:p>
      <w:pPr>
        <w:spacing w:after="0" w:line="3" w:lineRule="exact"/>
        <w:rPr>
          <w:sz w:val="20"/>
          <w:szCs w:val="20"/>
          <w:color w:val="auto"/>
        </w:rPr>
      </w:pPr>
    </w:p>
    <w:p>
      <w:pPr>
        <w:ind w:left="600" w:hanging="298"/>
        <w:spacing w:after="0" w:line="235" w:lineRule="auto"/>
        <w:rPr>
          <w:sz w:val="20"/>
          <w:szCs w:val="20"/>
          <w:color w:val="auto"/>
        </w:rPr>
      </w:pPr>
      <w:r>
        <w:rPr>
          <w:rFonts w:ascii="Times New Roman" w:cs="Times New Roman" w:eastAsia="Times New Roman" w:hAnsi="Times New Roman"/>
          <w:sz w:val="17"/>
          <w:szCs w:val="17"/>
          <w:color w:val="auto"/>
        </w:rPr>
        <w:t>●      </w:t>
      </w:r>
      <w:r>
        <w:rPr>
          <w:rFonts w:ascii="Arial" w:cs="Arial" w:eastAsia="Arial" w:hAnsi="Arial"/>
          <w:sz w:val="17"/>
          <w:szCs w:val="17"/>
          <w:color w:val="auto"/>
        </w:rPr>
        <w:t>Formerly at Wachovia Corporation from 2002 to 2009, where he served as Executive Vice President and</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Corporate Controller from 2006 to 2008</w:t>
      </w:r>
    </w:p>
    <w:p>
      <w:pPr>
        <w:spacing w:after="0" w:line="1" w:lineRule="exact"/>
        <w:rPr>
          <w:sz w:val="20"/>
          <w:szCs w:val="20"/>
          <w:color w:val="auto"/>
        </w:rPr>
      </w:pPr>
    </w:p>
    <w:p>
      <w:pPr>
        <w:ind w:left="600" w:right="80" w:hanging="298"/>
        <w:spacing w:after="0" w:line="235" w:lineRule="auto"/>
        <w:rPr>
          <w:sz w:val="20"/>
          <w:szCs w:val="20"/>
          <w:color w:val="auto"/>
        </w:rPr>
      </w:pPr>
      <w:r>
        <w:rPr>
          <w:rFonts w:ascii="Times New Roman" w:cs="Times New Roman" w:eastAsia="Times New Roman" w:hAnsi="Times New Roman"/>
          <w:sz w:val="17"/>
          <w:szCs w:val="17"/>
          <w:color w:val="auto"/>
        </w:rPr>
        <w:t>●      </w:t>
      </w:r>
      <w:r>
        <w:rPr>
          <w:rFonts w:ascii="Arial" w:cs="Arial" w:eastAsia="Arial" w:hAnsi="Arial"/>
          <w:sz w:val="17"/>
          <w:szCs w:val="17"/>
          <w:color w:val="auto"/>
        </w:rPr>
        <w:t>Joined Wachovia after fifteen years at Arthur Andersen, where he served as an audit partner working in</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financial services, manufacturing, commercial services and distribution</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      </w:t>
      </w:r>
      <w:r>
        <w:rPr>
          <w:rFonts w:ascii="Arial" w:cs="Arial" w:eastAsia="Arial" w:hAnsi="Arial"/>
          <w:sz w:val="17"/>
          <w:szCs w:val="17"/>
          <w:color w:val="auto"/>
        </w:rPr>
        <w:t>Serves as a Trustee of Wake Forest University and National Philanthropic Trust</w:t>
      </w:r>
    </w:p>
    <w:p>
      <w:pPr>
        <w:spacing w:after="0" w:line="176"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i w:val="1"/>
          <w:iCs w:val="1"/>
          <w:color w:val="auto"/>
        </w:rPr>
        <w:t>Mr. Carlson has extensive accounting and auditing experience gained over the course of his more than 30-year career in the insurance and financial services industries.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Select Board Service: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b w:val="1"/>
          <w:bCs w:val="1"/>
          <w:i w:val="1"/>
          <w:iCs w:val="1"/>
          <w:color w:val="auto"/>
        </w:rPr>
        <w:t>      </w:t>
      </w:r>
      <w:r>
        <w:rPr>
          <w:rFonts w:ascii="Arial" w:cs="Arial" w:eastAsia="Arial" w:hAnsi="Arial"/>
          <w:sz w:val="17"/>
          <w:szCs w:val="17"/>
          <w:color w:val="auto"/>
        </w:rPr>
        <w:t>Citizens, Inc. – Audit Committee (Public)</w:t>
      </w:r>
    </w:p>
    <w:p>
      <w:pPr>
        <w:spacing w:after="0" w:line="200" w:lineRule="exact"/>
        <w:rPr>
          <w:sz w:val="20"/>
          <w:szCs w:val="20"/>
          <w:color w:val="auto"/>
        </w:rPr>
      </w:pPr>
    </w:p>
    <w:p>
      <w:pPr>
        <w:sectPr>
          <w:pgSz w:w="11900" w:h="16838" w:orient="portrait"/>
          <w:cols w:equalWidth="0" w:num="2">
            <w:col w:w="2560" w:space="360"/>
            <w:col w:w="8160"/>
          </w:cols>
          <w:pgMar w:left="320" w:top="817" w:right="499" w:bottom="1440" w:gutter="0" w:footer="0" w:header="0"/>
          <w:type w:val="continuous"/>
        </w:sectPr>
      </w:pPr>
    </w:p>
    <w:p>
      <w:pPr>
        <w:spacing w:after="0" w:line="193"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311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080"/>
          </w:cols>
          <w:pgMar w:left="320" w:top="817" w:right="499" w:bottom="1440" w:gutter="0" w:footer="0" w:header="0"/>
          <w:type w:val="continuous"/>
        </w:sectPr>
      </w:pPr>
    </w:p>
    <w:bookmarkStart w:id="16" w:name="page17"/>
    <w:bookmarkEnd w:id="16"/>
    <w:p>
      <w:pPr>
        <w:ind w:left="760"/>
        <w:spacing w:after="0"/>
        <w:rPr>
          <w:sz w:val="20"/>
          <w:szCs w:val="20"/>
          <w:color w:val="auto"/>
        </w:rPr>
      </w:pPr>
      <w:r>
        <w:rPr>
          <w:rFonts w:ascii="Arial" w:cs="Arial" w:eastAsia="Arial" w:hAnsi="Arial"/>
          <w:sz w:val="17"/>
          <w:szCs w:val="17"/>
          <w:b w:val="1"/>
          <w:bCs w:val="1"/>
          <w:color w:val="FFFFFF"/>
        </w:rPr>
        <w:t>Suzanne F. Shank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241935</wp:posOffset>
            </wp:positionV>
            <wp:extent cx="1200785" cy="13747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785" cy="1374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w:t>
      </w:r>
      <w:r>
        <w:rPr>
          <w:rFonts w:ascii="Arial" w:cs="Arial" w:eastAsia="Arial" w:hAnsi="Arial"/>
          <w:sz w:val="17"/>
          <w:szCs w:val="17"/>
          <w:color w:val="auto"/>
        </w:rPr>
        <w:t>Joined in 2021</w:t>
      </w:r>
    </w:p>
    <w:p>
      <w:pPr>
        <w:spacing w:after="0" w:line="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w:t>
      </w:r>
      <w:r>
        <w:rPr>
          <w:rFonts w:ascii="Arial" w:cs="Arial" w:eastAsia="Arial" w:hAnsi="Arial"/>
          <w:sz w:val="17"/>
          <w:szCs w:val="17"/>
          <w:color w:val="auto"/>
        </w:rPr>
        <w:t>Age: 64</w:t>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w:t>
      </w:r>
      <w:r>
        <w:rPr>
          <w:rFonts w:ascii="Arial" w:cs="Arial" w:eastAsia="Arial" w:hAnsi="Arial"/>
          <w:sz w:val="17"/>
          <w:szCs w:val="17"/>
          <w:color w:val="auto"/>
        </w:rPr>
        <w:t>Committees:</w:t>
      </w:r>
    </w:p>
    <w:p>
      <w:pPr>
        <w:spacing w:after="0" w:line="3" w:lineRule="exact"/>
        <w:rPr>
          <w:sz w:val="20"/>
          <w:szCs w:val="20"/>
          <w:color w:val="auto"/>
        </w:rPr>
      </w:pPr>
    </w:p>
    <w:p>
      <w:pPr>
        <w:ind w:left="700"/>
        <w:spacing w:after="0" w:line="238" w:lineRule="auto"/>
        <w:rPr>
          <w:sz w:val="20"/>
          <w:szCs w:val="20"/>
          <w:color w:val="auto"/>
        </w:rPr>
      </w:pPr>
      <w:r>
        <w:rPr>
          <w:rFonts w:ascii="Arial" w:cs="Arial" w:eastAsia="Arial" w:hAnsi="Arial"/>
          <w:sz w:val="17"/>
          <w:szCs w:val="17"/>
          <w:color w:val="auto"/>
        </w:rPr>
        <w:t>Compensation/Nominating &amp; Governance, Finance</w:t>
      </w:r>
    </w:p>
    <w:p>
      <w:pPr>
        <w:spacing w:after="0" w:line="20" w:lineRule="exact"/>
        <w:rPr>
          <w:sz w:val="20"/>
          <w:szCs w:val="20"/>
          <w:color w:val="auto"/>
        </w:rPr>
      </w:pPr>
      <w:r>
        <w:rPr>
          <w:sz w:val="20"/>
          <w:szCs w:val="20"/>
          <w:color w:val="auto"/>
        </w:rPr>
        <w:br w:type="column"/>
      </w:r>
    </w:p>
    <w:p>
      <w:pPr>
        <w:ind w:left="3520"/>
        <w:spacing w:after="0"/>
        <w:rPr>
          <w:sz w:val="20"/>
          <w:szCs w:val="20"/>
          <w:color w:val="auto"/>
        </w:rPr>
      </w:pPr>
      <w:r>
        <w:rPr>
          <w:rFonts w:ascii="Arial" w:cs="Arial" w:eastAsia="Arial" w:hAnsi="Arial"/>
          <w:sz w:val="17"/>
          <w:szCs w:val="17"/>
          <w:b w:val="1"/>
          <w:bCs w:val="1"/>
          <w:color w:val="FFFFFF"/>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-1917065</wp:posOffset>
            </wp:positionH>
            <wp:positionV relativeFrom="paragraph">
              <wp:posOffset>-223520</wp:posOffset>
            </wp:positionV>
            <wp:extent cx="7143115" cy="3397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3115" cy="33972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Experience:</w:t>
      </w:r>
    </w:p>
    <w:p>
      <w:pPr>
        <w:spacing w:after="0" w:line="7" w:lineRule="exact"/>
        <w:rPr>
          <w:sz w:val="20"/>
          <w:szCs w:val="20"/>
          <w:color w:val="auto"/>
        </w:rPr>
      </w:pPr>
    </w:p>
    <w:p>
      <w:pPr>
        <w:ind w:left="580" w:right="60" w:hanging="298"/>
        <w:spacing w:after="0" w:line="233" w:lineRule="auto"/>
        <w:rPr>
          <w:sz w:val="20"/>
          <w:szCs w:val="20"/>
          <w:color w:val="auto"/>
        </w:rPr>
      </w:pPr>
      <w:r>
        <w:rPr>
          <w:rFonts w:ascii="Times New Roman" w:cs="Times New Roman" w:eastAsia="Times New Roman" w:hAnsi="Times New Roman"/>
          <w:sz w:val="17"/>
          <w:szCs w:val="17"/>
          <w:color w:val="auto"/>
        </w:rPr>
        <w:t>●      </w:t>
      </w:r>
      <w:r>
        <w:rPr>
          <w:rFonts w:ascii="Arial" w:cs="Arial" w:eastAsia="Arial" w:hAnsi="Arial"/>
          <w:sz w:val="17"/>
          <w:szCs w:val="17"/>
          <w:color w:val="auto"/>
        </w:rPr>
        <w:t>President, CEO and co-founder of Siebert Williams Shank &amp; Co., LLC (formerly Siebert Cisneros</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Shank &amp; Co., LLC), a full service investment banking and financial services company established in 1996</w:t>
      </w:r>
    </w:p>
    <w:p>
      <w:pPr>
        <w:spacing w:after="0" w:line="2" w:lineRule="exact"/>
        <w:rPr>
          <w:sz w:val="20"/>
          <w:szCs w:val="20"/>
          <w:color w:val="auto"/>
        </w:rPr>
      </w:pPr>
    </w:p>
    <w:p>
      <w:pPr>
        <w:ind w:left="580" w:right="480" w:hanging="298"/>
        <w:spacing w:after="0" w:line="235" w:lineRule="auto"/>
        <w:rPr>
          <w:sz w:val="20"/>
          <w:szCs w:val="20"/>
          <w:color w:val="auto"/>
        </w:rPr>
      </w:pPr>
      <w:r>
        <w:rPr>
          <w:rFonts w:ascii="Times New Roman" w:cs="Times New Roman" w:eastAsia="Times New Roman" w:hAnsi="Times New Roman"/>
          <w:sz w:val="17"/>
          <w:szCs w:val="17"/>
          <w:color w:val="auto"/>
        </w:rPr>
        <w:t>●      </w:t>
      </w:r>
      <w:r>
        <w:rPr>
          <w:rFonts w:ascii="Arial" w:cs="Arial" w:eastAsia="Arial" w:hAnsi="Arial"/>
          <w:sz w:val="17"/>
          <w:szCs w:val="17"/>
          <w:color w:val="auto"/>
        </w:rPr>
        <w:t>Prior to her financial services career, she worked as a structural engineer at General Dynamics</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Corporation</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      </w:t>
      </w:r>
      <w:r>
        <w:rPr>
          <w:rFonts w:ascii="Arial" w:cs="Arial" w:eastAsia="Arial" w:hAnsi="Arial"/>
          <w:sz w:val="17"/>
          <w:szCs w:val="17"/>
          <w:color w:val="auto"/>
        </w:rPr>
        <w:t>Serves as Board Member of Skillman Foundation, Kresge Foundation and Spelman College</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7"/>
          <w:szCs w:val="17"/>
          <w:i w:val="1"/>
          <w:iCs w:val="1"/>
          <w:color w:val="auto"/>
        </w:rPr>
        <w:t>Ms. Shank has extensive experience in investment banking and municipal finance gained over the course of almost 35 years in the financial services industry</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 Board Service:</w:t>
      </w:r>
    </w:p>
    <w:p>
      <w:pPr>
        <w:spacing w:after="0" w:line="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      </w:t>
      </w:r>
      <w:r>
        <w:rPr>
          <w:rFonts w:ascii="Arial" w:cs="Arial" w:eastAsia="Arial" w:hAnsi="Arial"/>
          <w:sz w:val="17"/>
          <w:szCs w:val="17"/>
          <w:color w:val="auto"/>
        </w:rPr>
        <w:t>Consumers Energy Company - Audit Committee (Public)</w:t>
      </w:r>
    </w:p>
    <w:p>
      <w:pPr>
        <w:spacing w:after="0" w:line="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      </w:t>
      </w:r>
      <w:r>
        <w:rPr>
          <w:rFonts w:ascii="Arial" w:cs="Arial" w:eastAsia="Arial" w:hAnsi="Arial"/>
          <w:sz w:val="17"/>
          <w:szCs w:val="17"/>
          <w:color w:val="auto"/>
        </w:rPr>
        <w:t>Rocket Companies, Inc. - Audit Committee (Public)</w:t>
      </w:r>
    </w:p>
    <w:p>
      <w:pPr>
        <w:spacing w:after="0" w:line="1050" w:lineRule="exact"/>
        <w:rPr>
          <w:sz w:val="20"/>
          <w:szCs w:val="20"/>
          <w:color w:val="auto"/>
        </w:rPr>
      </w:pPr>
    </w:p>
    <w:p>
      <w:pPr>
        <w:sectPr>
          <w:pgSz w:w="11900" w:h="16838" w:orient="portrait"/>
          <w:cols w:equalWidth="0" w:num="2">
            <w:col w:w="2800" w:space="220"/>
            <w:col w:w="7920"/>
          </w:cols>
          <w:pgMar w:left="320" w:top="994"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highlight w:val="white"/>
        </w:rPr>
        <w:t>Class II –To Be Elected to a Term Ending in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7143115" cy="3397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3115" cy="339725"/>
                    </a:xfrm>
                    <a:prstGeom prst="rect">
                      <a:avLst/>
                    </a:prstGeom>
                    <a:noFill/>
                  </pic:spPr>
                </pic:pic>
              </a:graphicData>
            </a:graphic>
          </wp:anchor>
        </w:drawing>
      </w:r>
    </w:p>
    <w:p>
      <w:pPr>
        <w:sectPr>
          <w:pgSz w:w="11900" w:h="16838" w:orient="portrait"/>
          <w:cols w:equalWidth="0" w:num="1">
            <w:col w:w="10940"/>
          </w:cols>
          <w:pgMar w:left="320" w:top="994" w:right="639" w:bottom="1440" w:gutter="0" w:footer="0" w:header="0"/>
          <w:type w:val="continuous"/>
        </w:sectPr>
      </w:pPr>
    </w:p>
    <w:p>
      <w:pPr>
        <w:spacing w:after="0" w:line="368"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FFFFFF"/>
        </w:rPr>
        <w:t>Liam P. 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234315</wp:posOffset>
            </wp:positionV>
            <wp:extent cx="987425" cy="131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87425"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Joined in 2026</w:t>
      </w:r>
    </w:p>
    <w:p>
      <w:pPr>
        <w:ind w:left="320"/>
        <w:spacing w:after="0" w:line="237" w:lineRule="auto"/>
        <w:rPr>
          <w:sz w:val="20"/>
          <w:szCs w:val="20"/>
          <w:color w:val="auto"/>
        </w:rPr>
      </w:pPr>
      <w:r>
        <w:rPr>
          <w:rFonts w:ascii="Arial" w:cs="Arial" w:eastAsia="Arial" w:hAnsi="Arial"/>
          <w:sz w:val="17"/>
          <w:szCs w:val="17"/>
          <w:color w:val="auto"/>
        </w:rPr>
        <w:t>●     Age: 53</w:t>
      </w:r>
    </w:p>
    <w:p>
      <w:pPr>
        <w:spacing w:after="0" w:line="1" w:lineRule="exact"/>
        <w:rPr>
          <w:sz w:val="20"/>
          <w:szCs w:val="20"/>
          <w:color w:val="auto"/>
        </w:rPr>
      </w:pPr>
    </w:p>
    <w:p>
      <w:pPr>
        <w:ind w:left="620" w:right="20" w:hanging="298"/>
        <w:spacing w:after="0" w:line="238" w:lineRule="auto"/>
        <w:rPr>
          <w:sz w:val="20"/>
          <w:szCs w:val="20"/>
          <w:color w:val="auto"/>
        </w:rPr>
      </w:pPr>
      <w:r>
        <w:rPr>
          <w:rFonts w:ascii="Arial" w:cs="Arial" w:eastAsia="Arial" w:hAnsi="Arial"/>
          <w:sz w:val="17"/>
          <w:szCs w:val="17"/>
          <w:color w:val="auto"/>
        </w:rPr>
        <w:t>●     Committees: Finance, Executive</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FFFFFF"/>
        </w:rPr>
        <w:t>Qualifications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Experience: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Joined White Mountains in 2022</w:t>
      </w:r>
    </w:p>
    <w:p>
      <w:pPr>
        <w:spacing w:after="0" w:line="4" w:lineRule="exact"/>
        <w:rPr>
          <w:sz w:val="20"/>
          <w:szCs w:val="20"/>
          <w:color w:val="auto"/>
        </w:rPr>
      </w:pPr>
    </w:p>
    <w:p>
      <w:pPr>
        <w:ind w:left="600" w:right="120" w:hanging="298"/>
        <w:spacing w:after="0" w:line="236" w:lineRule="auto"/>
        <w:rPr>
          <w:sz w:val="20"/>
          <w:szCs w:val="20"/>
          <w:color w:val="auto"/>
        </w:rPr>
      </w:pPr>
      <w:r>
        <w:rPr>
          <w:rFonts w:ascii="Arial" w:cs="Arial" w:eastAsia="Arial" w:hAnsi="Arial"/>
          <w:sz w:val="17"/>
          <w:szCs w:val="17"/>
          <w:color w:val="auto"/>
        </w:rPr>
        <w:t>●      Prior to CEO appointment in 2026, served as President &amp; Chief Financial Officer of White Mountains Insurance Group, Ltd. from 2024-2025</w:t>
      </w:r>
    </w:p>
    <w:p>
      <w:pPr>
        <w:spacing w:after="0" w:line="1" w:lineRule="exact"/>
        <w:rPr>
          <w:sz w:val="20"/>
          <w:szCs w:val="20"/>
          <w:color w:val="auto"/>
        </w:rPr>
      </w:pPr>
    </w:p>
    <w:p>
      <w:pPr>
        <w:ind w:left="600" w:hanging="298"/>
        <w:spacing w:after="0" w:line="238" w:lineRule="auto"/>
        <w:rPr>
          <w:sz w:val="20"/>
          <w:szCs w:val="20"/>
          <w:color w:val="auto"/>
        </w:rPr>
      </w:pPr>
      <w:r>
        <w:rPr>
          <w:rFonts w:ascii="Arial" w:cs="Arial" w:eastAsia="Arial" w:hAnsi="Arial"/>
          <w:sz w:val="17"/>
          <w:szCs w:val="17"/>
          <w:color w:val="auto"/>
        </w:rPr>
        <w:t>●      Prior to being named President, served as Executive Vice President &amp; Chief Financial Officer of White Mountains from 2022 to 2024</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CEO of Aon’s Global Affinity Business from 2018 to 2020</w:t>
      </w:r>
    </w:p>
    <w:p>
      <w:pPr>
        <w:spacing w:after="0" w:line="1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Chief Financial Officer of Aon Risk Solutions from 2015 to 2018</w:t>
      </w:r>
    </w:p>
    <w:p>
      <w:pPr>
        <w:spacing w:after="0" w:line="4" w:lineRule="exact"/>
        <w:rPr>
          <w:sz w:val="20"/>
          <w:szCs w:val="20"/>
          <w:color w:val="auto"/>
        </w:rPr>
      </w:pPr>
    </w:p>
    <w:p>
      <w:pPr>
        <w:ind w:left="300" w:right="2080"/>
        <w:spacing w:after="0" w:line="267" w:lineRule="auto"/>
        <w:rPr>
          <w:sz w:val="20"/>
          <w:szCs w:val="20"/>
          <w:color w:val="auto"/>
        </w:rPr>
      </w:pPr>
      <w:r>
        <w:rPr>
          <w:rFonts w:ascii="Arial" w:cs="Arial" w:eastAsia="Arial" w:hAnsi="Arial"/>
          <w:sz w:val="17"/>
          <w:szCs w:val="17"/>
          <w:color w:val="auto"/>
        </w:rPr>
        <w:t>●      Chief Financial Officer of Aon Risk Solutions Americas from 2012 to 2015 ●      Principal at McKinsey &amp; Company prior to joining Aon</w:t>
      </w:r>
    </w:p>
    <w:p>
      <w:pPr>
        <w:spacing w:after="0" w:line="161" w:lineRule="exact"/>
        <w:rPr>
          <w:sz w:val="20"/>
          <w:szCs w:val="20"/>
          <w:color w:val="auto"/>
        </w:rPr>
      </w:pPr>
    </w:p>
    <w:p>
      <w:pPr>
        <w:ind w:right="300"/>
        <w:spacing w:after="0" w:line="254" w:lineRule="auto"/>
        <w:rPr>
          <w:sz w:val="20"/>
          <w:szCs w:val="20"/>
          <w:color w:val="auto"/>
        </w:rPr>
      </w:pPr>
      <w:r>
        <w:rPr>
          <w:rFonts w:ascii="Arial" w:cs="Arial" w:eastAsia="Arial" w:hAnsi="Arial"/>
          <w:sz w:val="17"/>
          <w:szCs w:val="17"/>
          <w:i w:val="1"/>
          <w:iCs w:val="1"/>
          <w:color w:val="auto"/>
        </w:rPr>
        <w:t>Mr. Caffrey has extensive management and financial expertise gained over the course of his career in the insurance and financial services industries.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 Board Service:</w:t>
      </w:r>
    </w:p>
    <w:p>
      <w:pPr>
        <w:spacing w:after="0" w:line="2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Various WTM portfolio companies (Private)</w:t>
      </w:r>
    </w:p>
    <w:p>
      <w:pPr>
        <w:spacing w:after="0" w:line="200" w:lineRule="exact"/>
        <w:rPr>
          <w:sz w:val="20"/>
          <w:szCs w:val="20"/>
          <w:color w:val="auto"/>
        </w:rPr>
      </w:pPr>
    </w:p>
    <w:p>
      <w:pPr>
        <w:sectPr>
          <w:pgSz w:w="11900" w:h="16838" w:orient="portrait"/>
          <w:cols w:equalWidth="0" w:num="2">
            <w:col w:w="2200" w:space="720"/>
            <w:col w:w="8020"/>
          </w:cols>
          <w:pgMar w:left="320" w:top="994" w:right="639" w:bottom="1440" w:gutter="0" w:footer="0" w:header="0"/>
          <w:type w:val="continuous"/>
        </w:sectPr>
      </w:pPr>
    </w:p>
    <w:p>
      <w:pPr>
        <w:spacing w:after="0" w:line="393"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311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0940"/>
          </w:cols>
          <w:pgMar w:left="320" w:top="994" w:right="639" w:bottom="1440" w:gutter="0" w:footer="0" w:header="0"/>
          <w:type w:val="continuous"/>
        </w:sectPr>
      </w:pPr>
    </w:p>
    <w:bookmarkStart w:id="17" w:name="page18"/>
    <w:bookmarkEnd w:id="17"/>
    <w:p>
      <w:pPr>
        <w:jc w:val="center"/>
        <w:ind w:left="640"/>
        <w:spacing w:after="0"/>
        <w:rPr>
          <w:sz w:val="20"/>
          <w:szCs w:val="20"/>
          <w:color w:val="auto"/>
        </w:rPr>
      </w:pPr>
      <w:r>
        <w:rPr>
          <w:rFonts w:ascii="Arial" w:cs="Arial" w:eastAsia="Arial" w:hAnsi="Arial"/>
          <w:sz w:val="17"/>
          <w:szCs w:val="17"/>
          <w:b w:val="1"/>
          <w:bCs w:val="1"/>
          <w:color w:val="FFFFFF"/>
        </w:rPr>
        <w:t>Mary C. Choksi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241935</wp:posOffset>
            </wp:positionV>
            <wp:extent cx="1027430" cy="1280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7430" cy="1280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Joined in 2017</w:t>
      </w:r>
    </w:p>
    <w:p>
      <w:pPr>
        <w:ind w:left="320"/>
        <w:spacing w:after="0" w:line="237" w:lineRule="auto"/>
        <w:rPr>
          <w:sz w:val="20"/>
          <w:szCs w:val="20"/>
          <w:color w:val="auto"/>
        </w:rPr>
      </w:pPr>
      <w:r>
        <w:rPr>
          <w:rFonts w:ascii="Arial" w:cs="Arial" w:eastAsia="Arial" w:hAnsi="Arial"/>
          <w:sz w:val="17"/>
          <w:szCs w:val="17"/>
          <w:color w:val="auto"/>
        </w:rPr>
        <w:t>●      Age: 75</w:t>
      </w:r>
    </w:p>
    <w:p>
      <w:pPr>
        <w:spacing w:after="0" w:line="1" w:lineRule="exact"/>
        <w:rPr>
          <w:sz w:val="20"/>
          <w:szCs w:val="20"/>
          <w:color w:val="auto"/>
        </w:rPr>
      </w:pPr>
    </w:p>
    <w:p>
      <w:pPr>
        <w:ind w:left="620" w:right="40" w:hanging="298"/>
        <w:spacing w:after="0" w:line="267" w:lineRule="auto"/>
        <w:rPr>
          <w:sz w:val="20"/>
          <w:szCs w:val="20"/>
          <w:color w:val="auto"/>
        </w:rPr>
      </w:pPr>
      <w:r>
        <w:rPr>
          <w:rFonts w:ascii="Arial" w:cs="Arial" w:eastAsia="Arial" w:hAnsi="Arial"/>
          <w:sz w:val="16"/>
          <w:szCs w:val="16"/>
          <w:color w:val="auto"/>
        </w:rPr>
        <w:t>●      Committees: Finance (Chair), Executive</w:t>
      </w:r>
    </w:p>
    <w:p>
      <w:pPr>
        <w:spacing w:after="0" w:line="20" w:lineRule="exact"/>
        <w:rPr>
          <w:sz w:val="20"/>
          <w:szCs w:val="20"/>
          <w:color w:val="auto"/>
        </w:rPr>
      </w:pPr>
      <w:r>
        <w:rPr>
          <w:sz w:val="20"/>
          <w:szCs w:val="20"/>
          <w:color w:val="auto"/>
        </w:rPr>
        <w:br w:type="column"/>
      </w:r>
    </w:p>
    <w:p>
      <w:pPr>
        <w:ind w:left="3560"/>
        <w:spacing w:after="0"/>
        <w:rPr>
          <w:sz w:val="20"/>
          <w:szCs w:val="20"/>
          <w:color w:val="auto"/>
        </w:rPr>
      </w:pPr>
      <w:r>
        <w:rPr>
          <w:rFonts w:ascii="Arial" w:cs="Arial" w:eastAsia="Arial" w:hAnsi="Arial"/>
          <w:sz w:val="17"/>
          <w:szCs w:val="17"/>
          <w:b w:val="1"/>
          <w:bCs w:val="1"/>
          <w:color w:val="FFFFFF"/>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-1853565</wp:posOffset>
            </wp:positionH>
            <wp:positionV relativeFrom="paragraph">
              <wp:posOffset>-223520</wp:posOffset>
            </wp:positionV>
            <wp:extent cx="7143115" cy="3397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3115" cy="33972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Experience:</w:t>
      </w:r>
    </w:p>
    <w:p>
      <w:pPr>
        <w:spacing w:after="0" w:line="32" w:lineRule="exact"/>
        <w:rPr>
          <w:sz w:val="20"/>
          <w:szCs w:val="20"/>
          <w:color w:val="auto"/>
        </w:rPr>
      </w:pPr>
    </w:p>
    <w:p>
      <w:pPr>
        <w:ind w:left="600" w:right="640" w:hanging="298"/>
        <w:spacing w:after="0" w:line="234" w:lineRule="auto"/>
        <w:rPr>
          <w:sz w:val="20"/>
          <w:szCs w:val="20"/>
          <w:color w:val="auto"/>
        </w:rPr>
      </w:pPr>
      <w:r>
        <w:rPr>
          <w:rFonts w:ascii="Arial" w:cs="Arial" w:eastAsia="Arial" w:hAnsi="Arial"/>
          <w:sz w:val="17"/>
          <w:szCs w:val="17"/>
          <w:color w:val="auto"/>
        </w:rPr>
        <w:t>●      Founding Partner (and Senior Managing Director/Senior Advisor until February 2017) of Strategic Investment Group, an investment management enterprise founded in 1987 which designs and implements global investment strategies for institutional and individual investors</w:t>
      </w:r>
    </w:p>
    <w:p>
      <w:pPr>
        <w:spacing w:after="0" w:line="1" w:lineRule="exact"/>
        <w:rPr>
          <w:sz w:val="20"/>
          <w:szCs w:val="20"/>
          <w:color w:val="auto"/>
        </w:rPr>
      </w:pPr>
    </w:p>
    <w:p>
      <w:pPr>
        <w:ind w:left="300" w:right="1380"/>
        <w:spacing w:after="0" w:line="246" w:lineRule="auto"/>
        <w:rPr>
          <w:sz w:val="20"/>
          <w:szCs w:val="20"/>
          <w:color w:val="auto"/>
        </w:rPr>
      </w:pPr>
      <w:r>
        <w:rPr>
          <w:rFonts w:ascii="Arial" w:cs="Arial" w:eastAsia="Arial" w:hAnsi="Arial"/>
          <w:sz w:val="17"/>
          <w:szCs w:val="17"/>
          <w:color w:val="auto"/>
        </w:rPr>
        <w:t>●      Founder and Managing Director of Emerging Markets Management LLC until May 2011 ●      Prior to 1987, worked in the Pension Investment Division of the World Bank</w:t>
      </w:r>
    </w:p>
    <w:p>
      <w:pPr>
        <w:ind w:left="300"/>
        <w:spacing w:after="0"/>
        <w:rPr>
          <w:sz w:val="20"/>
          <w:szCs w:val="20"/>
          <w:color w:val="auto"/>
        </w:rPr>
      </w:pPr>
      <w:r>
        <w:rPr>
          <w:rFonts w:ascii="Arial" w:cs="Arial" w:eastAsia="Arial" w:hAnsi="Arial"/>
          <w:sz w:val="17"/>
          <w:szCs w:val="17"/>
          <w:color w:val="auto"/>
        </w:rPr>
        <w:t>●      Served as a director of Avis Budget Group from 2007 to 2020</w:t>
      </w:r>
    </w:p>
    <w:p>
      <w:pPr>
        <w:spacing w:after="0" w:line="198"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i w:val="1"/>
          <w:iCs w:val="1"/>
          <w:color w:val="auto"/>
        </w:rPr>
        <w:t>Ms. Choksi has extensive executive and board-level service and investment management expertise gained over the course of over 40 years in the financial services industry.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 Board Service:</w:t>
      </w:r>
    </w:p>
    <w:p>
      <w:pPr>
        <w:spacing w:after="0" w:line="20" w:lineRule="exact"/>
        <w:rPr>
          <w:sz w:val="20"/>
          <w:szCs w:val="20"/>
          <w:color w:val="auto"/>
        </w:rPr>
      </w:pPr>
    </w:p>
    <w:p>
      <w:pPr>
        <w:ind w:left="300" w:right="420"/>
        <w:spacing w:after="0" w:line="267" w:lineRule="auto"/>
        <w:rPr>
          <w:sz w:val="20"/>
          <w:szCs w:val="20"/>
          <w:color w:val="auto"/>
        </w:rPr>
      </w:pPr>
      <w:r>
        <w:rPr>
          <w:rFonts w:ascii="Arial" w:cs="Arial" w:eastAsia="Arial" w:hAnsi="Arial"/>
          <w:sz w:val="17"/>
          <w:szCs w:val="17"/>
          <w:color w:val="auto"/>
        </w:rPr>
        <w:t>●      Omnicom Group – Lead Independent Director, Audit (Chair) and Compensation Committees (Public) ●      Franklin Templeton Mutual Funds (24 investment companies) -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-1853565</wp:posOffset>
            </wp:positionH>
            <wp:positionV relativeFrom="paragraph">
              <wp:posOffset>601345</wp:posOffset>
            </wp:positionV>
            <wp:extent cx="7143115" cy="3397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3115" cy="339725"/>
                    </a:xfrm>
                    <a:prstGeom prst="rect">
                      <a:avLst/>
                    </a:prstGeom>
                    <a:noFill/>
                  </pic:spPr>
                </pic:pic>
              </a:graphicData>
            </a:graphic>
          </wp:anchor>
        </w:drawing>
      </w:r>
    </w:p>
    <w:p>
      <w:pPr>
        <w:spacing w:after="0" w:line="585" w:lineRule="exact"/>
        <w:rPr>
          <w:sz w:val="20"/>
          <w:szCs w:val="20"/>
          <w:color w:val="auto"/>
        </w:rPr>
      </w:pPr>
    </w:p>
    <w:p>
      <w:pPr>
        <w:sectPr>
          <w:pgSz w:w="11900" w:h="16838" w:orient="portrait"/>
          <w:cols w:equalWidth="0" w:num="2">
            <w:col w:w="2200" w:space="720"/>
            <w:col w:w="8320"/>
          </w:cols>
          <w:pgMar w:left="320" w:top="994" w:right="339" w:bottom="1440" w:gutter="0" w:footer="0" w:header="0"/>
        </w:sect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386"/>
        </w:trPr>
        <w:tc>
          <w:tcPr>
            <w:tcW w:w="4200" w:type="dxa"/>
            <w:vAlign w:val="bottom"/>
            <w:shd w:val="clear" w:color="auto" w:fill="1F3864"/>
          </w:tcPr>
          <w:p>
            <w:pPr>
              <w:ind w:left="920"/>
              <w:spacing w:after="0"/>
              <w:rPr>
                <w:sz w:val="20"/>
                <w:szCs w:val="20"/>
                <w:color w:val="auto"/>
              </w:rPr>
            </w:pPr>
            <w:r>
              <w:rPr>
                <w:rFonts w:ascii="Arial" w:cs="Arial" w:eastAsia="Arial" w:hAnsi="Arial"/>
                <w:sz w:val="17"/>
                <w:szCs w:val="17"/>
                <w:b w:val="1"/>
                <w:bCs w:val="1"/>
                <w:color w:val="FFFFFF"/>
              </w:rPr>
              <w:t>John K. Chu</w:t>
            </w:r>
          </w:p>
        </w:tc>
        <w:tc>
          <w:tcPr>
            <w:tcW w:w="7040" w:type="dxa"/>
            <w:vAlign w:val="bottom"/>
            <w:shd w:val="clear" w:color="auto" w:fill="1F3864"/>
          </w:tcPr>
          <w:p>
            <w:pPr>
              <w:ind w:left="2280"/>
              <w:spacing w:after="0"/>
              <w:rPr>
                <w:sz w:val="20"/>
                <w:szCs w:val="20"/>
                <w:color w:val="auto"/>
              </w:rPr>
            </w:pPr>
            <w:r>
              <w:rPr>
                <w:rFonts w:ascii="Arial" w:cs="Arial" w:eastAsia="Arial" w:hAnsi="Arial"/>
                <w:sz w:val="17"/>
                <w:szCs w:val="17"/>
                <w:b w:val="1"/>
                <w:bCs w:val="1"/>
                <w:color w:val="FFFFFF"/>
              </w:rPr>
              <w:t>Qualifications</w:t>
            </w:r>
          </w:p>
        </w:tc>
      </w:tr>
      <w:tr>
        <w:trPr>
          <w:trHeight w:val="137"/>
        </w:trPr>
        <w:tc>
          <w:tcPr>
            <w:tcW w:w="4200" w:type="dxa"/>
            <w:vAlign w:val="bottom"/>
            <w:shd w:val="clear" w:color="auto" w:fill="1F3864"/>
          </w:tcPr>
          <w:p>
            <w:pPr>
              <w:spacing w:after="0"/>
              <w:rPr>
                <w:sz w:val="11"/>
                <w:szCs w:val="11"/>
                <w:color w:val="auto"/>
              </w:rPr>
            </w:pPr>
          </w:p>
        </w:tc>
        <w:tc>
          <w:tcPr>
            <w:tcW w:w="7040" w:type="dxa"/>
            <w:vAlign w:val="bottom"/>
            <w:shd w:val="clear" w:color="auto" w:fill="1F3864"/>
          </w:tcPr>
          <w:p>
            <w:pPr>
              <w:spacing w:after="0"/>
              <w:rPr>
                <w:sz w:val="11"/>
                <w:szCs w:val="11"/>
                <w:color w:val="auto"/>
              </w:rPr>
            </w:pPr>
          </w:p>
        </w:tc>
      </w:tr>
    </w:tbl>
    <w:p>
      <w:pPr>
        <w:spacing w:after="0" w:line="8" w:lineRule="exact"/>
        <w:rPr>
          <w:sz w:val="20"/>
          <w:szCs w:val="20"/>
          <w:color w:val="auto"/>
        </w:rPr>
      </w:pPr>
    </w:p>
    <w:p>
      <w:pPr>
        <w:ind w:left="2920"/>
        <w:spacing w:after="0"/>
        <w:rPr>
          <w:sz w:val="20"/>
          <w:szCs w:val="20"/>
          <w:color w:val="auto"/>
        </w:rPr>
      </w:pPr>
      <w:r>
        <w:rPr>
          <w:rFonts w:ascii="Arial" w:cs="Arial" w:eastAsia="Arial" w:hAnsi="Arial"/>
          <w:sz w:val="17"/>
          <w:szCs w:val="17"/>
          <w:b w:val="1"/>
          <w:bCs w:val="1"/>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5080</wp:posOffset>
            </wp:positionV>
            <wp:extent cx="963930" cy="1280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63930" cy="1280160"/>
                    </a:xfrm>
                    <a:prstGeom prst="rect">
                      <a:avLst/>
                    </a:prstGeom>
                    <a:noFill/>
                  </pic:spPr>
                </pic:pic>
              </a:graphicData>
            </a:graphic>
          </wp:anchor>
        </w:drawing>
      </w:r>
    </w:p>
    <w:p>
      <w:pPr>
        <w:spacing w:after="0" w:line="12"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      Founder and CEO of Bamboo Insurance since 2018</w:t>
      </w:r>
    </w:p>
    <w:p>
      <w:pPr>
        <w:spacing w:after="0" w:line="4" w:lineRule="exact"/>
        <w:rPr>
          <w:sz w:val="20"/>
          <w:szCs w:val="20"/>
          <w:color w:val="auto"/>
        </w:rPr>
      </w:pPr>
    </w:p>
    <w:p>
      <w:pPr>
        <w:ind w:left="3220" w:right="1180"/>
        <w:spacing w:after="0" w:line="246" w:lineRule="auto"/>
        <w:rPr>
          <w:sz w:val="20"/>
          <w:szCs w:val="20"/>
          <w:color w:val="auto"/>
        </w:rPr>
      </w:pPr>
      <w:r>
        <w:rPr>
          <w:rFonts w:ascii="Arial" w:cs="Arial" w:eastAsia="Arial" w:hAnsi="Arial"/>
          <w:sz w:val="17"/>
          <w:szCs w:val="17"/>
          <w:color w:val="auto"/>
        </w:rPr>
        <w:t>●      Prior to Bamboo, served as Chairman and CEO of The McGraw Group from 2014 to 2017 ●      Operating Partner at Altamont Capital Partners from 2011 to 2014</w:t>
      </w:r>
    </w:p>
    <w:p>
      <w:pPr>
        <w:ind w:left="3220"/>
        <w:spacing w:after="0"/>
        <w:rPr>
          <w:sz w:val="20"/>
          <w:szCs w:val="20"/>
          <w:color w:val="auto"/>
        </w:rPr>
      </w:pPr>
      <w:r>
        <w:rPr>
          <w:rFonts w:ascii="Arial" w:cs="Arial" w:eastAsia="Arial" w:hAnsi="Arial"/>
          <w:sz w:val="17"/>
          <w:szCs w:val="17"/>
          <w:color w:val="auto"/>
        </w:rPr>
        <w:t>●      Operating Partner at Golden Gate Capital from 2009 to 2011</w:t>
      </w:r>
    </w:p>
    <w:p>
      <w:pPr>
        <w:spacing w:after="0" w:line="13"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      Senior Vice President, eBusiness &amp; Technology at The Hartford from 2003 to 2008</w:t>
      </w:r>
    </w:p>
    <w:p>
      <w:pPr>
        <w:spacing w:after="0" w:line="4" w:lineRule="exact"/>
        <w:rPr>
          <w:sz w:val="20"/>
          <w:szCs w:val="20"/>
          <w:color w:val="auto"/>
        </w:rPr>
      </w:pPr>
    </w:p>
    <w:p>
      <w:pPr>
        <w:ind w:left="3520" w:right="260" w:hanging="298"/>
        <w:spacing w:after="0" w:line="238" w:lineRule="auto"/>
        <w:rPr>
          <w:sz w:val="20"/>
          <w:szCs w:val="20"/>
          <w:color w:val="auto"/>
        </w:rPr>
      </w:pPr>
      <w:r>
        <w:rPr>
          <w:rFonts w:ascii="Arial" w:cs="Arial" w:eastAsia="Arial" w:hAnsi="Arial"/>
          <w:sz w:val="17"/>
          <w:szCs w:val="17"/>
          <w:color w:val="auto"/>
        </w:rPr>
        <w:t>●      Prior to his role as SVP, served as Chief Financial Officer, Personal Lines at The Hartford from 1999 to 2003</w:t>
      </w:r>
    </w:p>
    <w:p>
      <w:pPr>
        <w:spacing w:after="0" w:line="1"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      Managing Consultant at Tillinghast Tower-Perrin from 1995 to 1999</w:t>
      </w:r>
    </w:p>
    <w:p>
      <w:pPr>
        <w:spacing w:after="0" w:line="198" w:lineRule="exact"/>
        <w:rPr>
          <w:sz w:val="20"/>
          <w:szCs w:val="20"/>
          <w:color w:val="auto"/>
        </w:rPr>
      </w:pPr>
    </w:p>
    <w:p>
      <w:pPr>
        <w:ind w:left="2920" w:right="400"/>
        <w:spacing w:after="0" w:line="250" w:lineRule="auto"/>
        <w:rPr>
          <w:sz w:val="20"/>
          <w:szCs w:val="20"/>
          <w:color w:val="auto"/>
        </w:rPr>
      </w:pPr>
      <w:r>
        <w:rPr>
          <w:rFonts w:ascii="Arial" w:cs="Arial" w:eastAsia="Arial" w:hAnsi="Arial"/>
          <w:sz w:val="17"/>
          <w:szCs w:val="17"/>
          <w:i w:val="1"/>
          <w:iCs w:val="1"/>
          <w:color w:val="auto"/>
        </w:rPr>
        <w:t>Mr. Chu has extensive expertise in the insurance and investments industries gained over the course of more than 25 years in the insurance and financial services industries.</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Nominee for election in 2026</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Age: 62</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386"/>
        </w:trPr>
        <w:tc>
          <w:tcPr>
            <w:tcW w:w="4280" w:type="dxa"/>
            <w:vAlign w:val="bottom"/>
            <w:shd w:val="clear" w:color="auto" w:fill="1F3864"/>
          </w:tcPr>
          <w:p>
            <w:pPr>
              <w:ind w:left="760"/>
              <w:spacing w:after="0"/>
              <w:rPr>
                <w:sz w:val="20"/>
                <w:szCs w:val="20"/>
                <w:color w:val="auto"/>
              </w:rPr>
            </w:pPr>
            <w:r>
              <w:rPr>
                <w:rFonts w:ascii="Arial" w:cs="Arial" w:eastAsia="Arial" w:hAnsi="Arial"/>
                <w:sz w:val="17"/>
                <w:szCs w:val="17"/>
                <w:b w:val="1"/>
                <w:bCs w:val="1"/>
                <w:color w:val="FFFFFF"/>
              </w:rPr>
              <w:t>Weston M. Hicks</w:t>
            </w:r>
          </w:p>
        </w:tc>
        <w:tc>
          <w:tcPr>
            <w:tcW w:w="6960" w:type="dxa"/>
            <w:vAlign w:val="bottom"/>
            <w:shd w:val="clear" w:color="auto" w:fill="1F3864"/>
          </w:tcPr>
          <w:p>
            <w:pPr>
              <w:ind w:left="2200"/>
              <w:spacing w:after="0"/>
              <w:rPr>
                <w:sz w:val="20"/>
                <w:szCs w:val="20"/>
                <w:color w:val="auto"/>
              </w:rPr>
            </w:pPr>
            <w:r>
              <w:rPr>
                <w:rFonts w:ascii="Arial" w:cs="Arial" w:eastAsia="Arial" w:hAnsi="Arial"/>
                <w:sz w:val="17"/>
                <w:szCs w:val="17"/>
                <w:b w:val="1"/>
                <w:bCs w:val="1"/>
                <w:color w:val="FFFFFF"/>
              </w:rPr>
              <w:t>Qualifications</w:t>
            </w:r>
          </w:p>
        </w:tc>
      </w:tr>
      <w:tr>
        <w:trPr>
          <w:trHeight w:val="137"/>
        </w:trPr>
        <w:tc>
          <w:tcPr>
            <w:tcW w:w="4280" w:type="dxa"/>
            <w:vAlign w:val="bottom"/>
            <w:shd w:val="clear" w:color="auto" w:fill="1F3864"/>
          </w:tcPr>
          <w:p>
            <w:pPr>
              <w:spacing w:after="0"/>
              <w:rPr>
                <w:sz w:val="11"/>
                <w:szCs w:val="11"/>
                <w:color w:val="auto"/>
              </w:rPr>
            </w:pPr>
          </w:p>
        </w:tc>
        <w:tc>
          <w:tcPr>
            <w:tcW w:w="6960" w:type="dxa"/>
            <w:vAlign w:val="bottom"/>
            <w:shd w:val="clear" w:color="auto" w:fill="1F3864"/>
          </w:tcPr>
          <w:p>
            <w:pPr>
              <w:spacing w:after="0"/>
              <w:rPr>
                <w:sz w:val="11"/>
                <w:szCs w:val="11"/>
                <w:color w:val="auto"/>
              </w:rPr>
            </w:pPr>
          </w:p>
        </w:tc>
      </w:tr>
    </w:tbl>
    <w:p>
      <w:pPr>
        <w:spacing w:after="0" w:line="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531495</wp:posOffset>
            </wp:positionV>
            <wp:extent cx="7143115" cy="3397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3115" cy="339725"/>
                    </a:xfrm>
                    <a:prstGeom prst="rect">
                      <a:avLst/>
                    </a:prstGeom>
                    <a:noFill/>
                  </pic:spPr>
                </pic:pic>
              </a:graphicData>
            </a:graphic>
          </wp:anchor>
        </w:drawing>
      </w:r>
    </w:p>
    <w:p>
      <w:pPr>
        <w:ind w:left="2920"/>
        <w:spacing w:after="0"/>
        <w:rPr>
          <w:sz w:val="20"/>
          <w:szCs w:val="20"/>
          <w:color w:val="auto"/>
        </w:rPr>
      </w:pPr>
      <w:r>
        <w:rPr>
          <w:rFonts w:ascii="Arial" w:cs="Arial" w:eastAsia="Arial" w:hAnsi="Arial"/>
          <w:sz w:val="17"/>
          <w:szCs w:val="17"/>
          <w:b w:val="1"/>
          <w:bCs w:val="1"/>
          <w:color w:val="auto"/>
        </w:rPr>
        <w:t>Experience:</w:t>
      </w:r>
    </w:p>
    <w:p>
      <w:pPr>
        <w:spacing w:after="0" w:line="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color w:val="auto"/>
        </w:rPr>
        <w:t>●       </w:t>
      </w:r>
      <w:r>
        <w:rPr>
          <w:rFonts w:ascii="Arial" w:cs="Arial" w:eastAsia="Arial" w:hAnsi="Arial"/>
          <w:sz w:val="17"/>
          <w:szCs w:val="17"/>
          <w:color w:val="auto"/>
        </w:rPr>
        <w:t>Appointed Chairman of the Board in May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-123190</wp:posOffset>
            </wp:positionV>
            <wp:extent cx="1169670" cy="13747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69670" cy="1374775"/>
                    </a:xfrm>
                    <a:prstGeom prst="rect">
                      <a:avLst/>
                    </a:prstGeom>
                    <a:noFill/>
                  </pic:spPr>
                </pic:pic>
              </a:graphicData>
            </a:graphic>
          </wp:anchor>
        </w:drawing>
      </w:r>
    </w:p>
    <w:p>
      <w:pPr>
        <w:ind w:left="3220"/>
        <w:spacing w:after="0"/>
        <w:rPr>
          <w:sz w:val="20"/>
          <w:szCs w:val="20"/>
          <w:color w:val="auto"/>
        </w:rPr>
      </w:pPr>
      <w:r>
        <w:rPr>
          <w:rFonts w:ascii="Times New Roman" w:cs="Times New Roman" w:eastAsia="Times New Roman" w:hAnsi="Times New Roman"/>
          <w:sz w:val="17"/>
          <w:szCs w:val="17"/>
          <w:color w:val="auto"/>
        </w:rPr>
        <w:t>●       </w:t>
      </w:r>
      <w:r>
        <w:rPr>
          <w:rFonts w:ascii="Arial" w:cs="Arial" w:eastAsia="Arial" w:hAnsi="Arial"/>
          <w:sz w:val="17"/>
          <w:szCs w:val="17"/>
          <w:color w:val="auto"/>
        </w:rPr>
        <w:t>President &amp; CEO of Alleghany Corporation from 2004 to 2021</w:t>
      </w:r>
    </w:p>
    <w:p>
      <w:pPr>
        <w:spacing w:after="0" w:line="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color w:val="auto"/>
        </w:rPr>
        <w:t>●       </w:t>
      </w:r>
      <w:r>
        <w:rPr>
          <w:rFonts w:ascii="Arial" w:cs="Arial" w:eastAsia="Arial" w:hAnsi="Arial"/>
          <w:sz w:val="17"/>
          <w:szCs w:val="17"/>
          <w:color w:val="auto"/>
        </w:rPr>
        <w:t>Executive Vice President for Alleghany Corporation from 2002 to 2004</w:t>
      </w:r>
    </w:p>
    <w:p>
      <w:pPr>
        <w:spacing w:after="0" w:line="3" w:lineRule="exact"/>
        <w:rPr>
          <w:sz w:val="20"/>
          <w:szCs w:val="20"/>
          <w:color w:val="auto"/>
        </w:rPr>
      </w:pPr>
    </w:p>
    <w:p>
      <w:pPr>
        <w:ind w:left="3220" w:right="540"/>
        <w:spacing w:after="0" w:line="243" w:lineRule="auto"/>
        <w:rPr>
          <w:sz w:val="20"/>
          <w:szCs w:val="20"/>
          <w:color w:val="auto"/>
        </w:rPr>
      </w:pPr>
      <w:r>
        <w:rPr>
          <w:rFonts w:ascii="Times New Roman" w:cs="Times New Roman" w:eastAsia="Times New Roman" w:hAnsi="Times New Roman"/>
          <w:sz w:val="17"/>
          <w:szCs w:val="17"/>
          <w:color w:val="auto"/>
        </w:rPr>
        <w:t>●       </w:t>
      </w:r>
      <w:r>
        <w:rPr>
          <w:rFonts w:ascii="Arial" w:cs="Arial" w:eastAsia="Arial" w:hAnsi="Arial"/>
          <w:sz w:val="17"/>
          <w:szCs w:val="17"/>
          <w:color w:val="auto"/>
        </w:rPr>
        <w:t>Executive Vice President and Chief Financial Officer for The Chubb Corporation from 2001 to 2002</w:t>
      </w:r>
      <w:r>
        <w:rPr>
          <w:rFonts w:ascii="Times New Roman" w:cs="Times New Roman" w:eastAsia="Times New Roman" w:hAnsi="Times New Roman"/>
          <w:sz w:val="17"/>
          <w:szCs w:val="17"/>
          <w:color w:val="auto"/>
        </w:rPr>
        <w:t xml:space="preserve"> ●       </w:t>
      </w:r>
      <w:r>
        <w:rPr>
          <w:rFonts w:ascii="Arial" w:cs="Arial" w:eastAsia="Arial" w:hAnsi="Arial"/>
          <w:sz w:val="17"/>
          <w:szCs w:val="17"/>
          <w:color w:val="auto"/>
        </w:rPr>
        <w:t>Senior Research Analyst for J.P. Morgan Securities from 1999 to 2001</w:t>
      </w:r>
    </w:p>
    <w:p>
      <w:pPr>
        <w:spacing w:after="0" w:line="1" w:lineRule="exact"/>
        <w:rPr>
          <w:sz w:val="20"/>
          <w:szCs w:val="20"/>
          <w:color w:val="auto"/>
        </w:rPr>
      </w:pPr>
    </w:p>
    <w:p>
      <w:pPr>
        <w:ind w:left="3220" w:right="2740"/>
        <w:spacing w:after="0" w:line="258" w:lineRule="auto"/>
        <w:rPr>
          <w:sz w:val="20"/>
          <w:szCs w:val="20"/>
          <w:color w:val="auto"/>
        </w:rPr>
      </w:pPr>
      <w:r>
        <w:rPr>
          <w:rFonts w:ascii="Times New Roman" w:cs="Times New Roman" w:eastAsia="Times New Roman" w:hAnsi="Times New Roman"/>
          <w:sz w:val="16"/>
          <w:szCs w:val="16"/>
          <w:color w:val="auto"/>
        </w:rPr>
        <w:t>●       </w:t>
      </w:r>
      <w:r>
        <w:rPr>
          <w:rFonts w:ascii="Arial" w:cs="Arial" w:eastAsia="Arial" w:hAnsi="Arial"/>
          <w:sz w:val="16"/>
          <w:szCs w:val="16"/>
          <w:color w:val="auto"/>
        </w:rPr>
        <w:t>Senior Research Analyst for Sanford C. Bernstein from 1991 to 1999</w:t>
      </w:r>
      <w:r>
        <w:rPr>
          <w:rFonts w:ascii="Times New Roman" w:cs="Times New Roman" w:eastAsia="Times New Roman" w:hAnsi="Times New Roman"/>
          <w:sz w:val="16"/>
          <w:szCs w:val="16"/>
          <w:color w:val="auto"/>
        </w:rPr>
        <w:t xml:space="preserve"> ●       </w:t>
      </w:r>
      <w:r>
        <w:rPr>
          <w:rFonts w:ascii="Arial" w:cs="Arial" w:eastAsia="Arial" w:hAnsi="Arial"/>
          <w:sz w:val="16"/>
          <w:szCs w:val="16"/>
          <w:color w:val="auto"/>
        </w:rPr>
        <w:t>Associate Director, Moody’s Investor Service from 1986 to 1991</w:t>
      </w:r>
    </w:p>
    <w:p>
      <w:pPr>
        <w:spacing w:after="0" w:line="1" w:lineRule="exact"/>
        <w:rPr>
          <w:sz w:val="20"/>
          <w:szCs w:val="20"/>
          <w:color w:val="auto"/>
        </w:rPr>
      </w:pPr>
    </w:p>
    <w:p>
      <w:pPr>
        <w:ind w:left="3220" w:right="780"/>
        <w:spacing w:after="0" w:line="250" w:lineRule="auto"/>
        <w:rPr>
          <w:sz w:val="20"/>
          <w:szCs w:val="20"/>
          <w:color w:val="auto"/>
        </w:rPr>
      </w:pPr>
      <w:r>
        <w:rPr>
          <w:rFonts w:ascii="Times New Roman" w:cs="Times New Roman" w:eastAsia="Times New Roman" w:hAnsi="Times New Roman"/>
          <w:sz w:val="17"/>
          <w:szCs w:val="17"/>
          <w:color w:val="auto"/>
        </w:rPr>
        <w:t>●       </w:t>
      </w:r>
      <w:r>
        <w:rPr>
          <w:rFonts w:ascii="Arial" w:cs="Arial" w:eastAsia="Arial" w:hAnsi="Arial"/>
          <w:sz w:val="17"/>
          <w:szCs w:val="17"/>
          <w:color w:val="auto"/>
        </w:rPr>
        <w:t>Prior to 1986, Mr. Hicks had several years of experience in the banking and accounting industry</w:t>
      </w:r>
      <w:r>
        <w:rPr>
          <w:rFonts w:ascii="Times New Roman" w:cs="Times New Roman" w:eastAsia="Times New Roman" w:hAnsi="Times New Roman"/>
          <w:sz w:val="17"/>
          <w:szCs w:val="17"/>
          <w:color w:val="auto"/>
        </w:rPr>
        <w:t xml:space="preserve"> ●       </w:t>
      </w:r>
      <w:r>
        <w:rPr>
          <w:rFonts w:ascii="Arial" w:cs="Arial" w:eastAsia="Arial" w:hAnsi="Arial"/>
          <w:sz w:val="17"/>
          <w:szCs w:val="17"/>
          <w:color w:val="auto"/>
        </w:rPr>
        <w:t>Served as a director of Alleghany Corporation from 2004 to 2021</w:t>
      </w:r>
    </w:p>
    <w:p>
      <w:pPr>
        <w:spacing w:after="0" w:line="162" w:lineRule="exact"/>
        <w:rPr>
          <w:sz w:val="20"/>
          <w:szCs w:val="20"/>
          <w:color w:val="auto"/>
        </w:rPr>
      </w:pPr>
    </w:p>
    <w:p>
      <w:pPr>
        <w:ind w:left="2920" w:right="100"/>
        <w:spacing w:after="0" w:line="252" w:lineRule="auto"/>
        <w:rPr>
          <w:sz w:val="20"/>
          <w:szCs w:val="20"/>
          <w:color w:val="auto"/>
        </w:rPr>
      </w:pPr>
      <w:r>
        <w:rPr>
          <w:rFonts w:ascii="Arial" w:cs="Arial" w:eastAsia="Arial" w:hAnsi="Arial"/>
          <w:sz w:val="16"/>
          <w:szCs w:val="16"/>
          <w:i w:val="1"/>
          <w:iCs w:val="1"/>
          <w:color w:val="auto"/>
        </w:rPr>
        <w:t>Mr. Hicks has extensive experience in finance, insurance, investment management, private equity and executive management gained over the course of over 40 years in the insurance and financial services industries.</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w:t>
      </w:r>
      <w:r>
        <w:rPr>
          <w:rFonts w:ascii="Arial" w:cs="Arial" w:eastAsia="Arial" w:hAnsi="Arial"/>
          <w:sz w:val="17"/>
          <w:szCs w:val="17"/>
          <w:color w:val="auto"/>
        </w:rPr>
        <w:t>Joined in 2023</w:t>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w:t>
      </w:r>
      <w:r>
        <w:rPr>
          <w:rFonts w:ascii="Arial" w:cs="Arial" w:eastAsia="Arial" w:hAnsi="Arial"/>
          <w:sz w:val="17"/>
          <w:szCs w:val="17"/>
          <w:color w:val="auto"/>
        </w:rPr>
        <w:t>Age: 69</w:t>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w:t>
      </w:r>
      <w:r>
        <w:rPr>
          <w:rFonts w:ascii="Arial" w:cs="Arial" w:eastAsia="Arial" w:hAnsi="Arial"/>
          <w:sz w:val="17"/>
          <w:szCs w:val="17"/>
          <w:color w:val="auto"/>
        </w:rPr>
        <w:t>Chairman of the Board</w:t>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w:t>
      </w:r>
      <w:r>
        <w:rPr>
          <w:rFonts w:ascii="Arial" w:cs="Arial" w:eastAsia="Arial" w:hAnsi="Arial"/>
          <w:sz w:val="17"/>
          <w:szCs w:val="17"/>
          <w:color w:val="auto"/>
        </w:rPr>
        <w:t>Committees: Audit,</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Executive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III – Term Ending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7143115" cy="3397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3115" cy="339725"/>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386"/>
        </w:trPr>
        <w:tc>
          <w:tcPr>
            <w:tcW w:w="4240" w:type="dxa"/>
            <w:vAlign w:val="bottom"/>
            <w:shd w:val="clear" w:color="auto" w:fill="1F3864"/>
          </w:tcPr>
          <w:p>
            <w:pPr>
              <w:ind w:left="800"/>
              <w:spacing w:after="0"/>
              <w:rPr>
                <w:sz w:val="20"/>
                <w:szCs w:val="20"/>
                <w:color w:val="auto"/>
              </w:rPr>
            </w:pPr>
            <w:r>
              <w:rPr>
                <w:rFonts w:ascii="Arial" w:cs="Arial" w:eastAsia="Arial" w:hAnsi="Arial"/>
                <w:sz w:val="17"/>
                <w:szCs w:val="17"/>
                <w:b w:val="1"/>
                <w:bCs w:val="1"/>
                <w:color w:val="FFFFFF"/>
              </w:rPr>
              <w:t>Margaret Dillon</w:t>
            </w:r>
          </w:p>
        </w:tc>
        <w:tc>
          <w:tcPr>
            <w:tcW w:w="7000" w:type="dxa"/>
            <w:vAlign w:val="bottom"/>
            <w:shd w:val="clear" w:color="auto" w:fill="1F3864"/>
          </w:tcPr>
          <w:p>
            <w:pPr>
              <w:ind w:left="2240"/>
              <w:spacing w:after="0"/>
              <w:rPr>
                <w:sz w:val="20"/>
                <w:szCs w:val="20"/>
                <w:color w:val="auto"/>
              </w:rPr>
            </w:pPr>
            <w:r>
              <w:rPr>
                <w:rFonts w:ascii="Arial" w:cs="Arial" w:eastAsia="Arial" w:hAnsi="Arial"/>
                <w:sz w:val="17"/>
                <w:szCs w:val="17"/>
                <w:b w:val="1"/>
                <w:bCs w:val="1"/>
                <w:color w:val="FFFFFF"/>
              </w:rPr>
              <w:t>Qualifications</w:t>
            </w:r>
          </w:p>
        </w:tc>
      </w:tr>
      <w:tr>
        <w:trPr>
          <w:trHeight w:val="137"/>
        </w:trPr>
        <w:tc>
          <w:tcPr>
            <w:tcW w:w="4240" w:type="dxa"/>
            <w:vAlign w:val="bottom"/>
            <w:shd w:val="clear" w:color="auto" w:fill="1F3864"/>
          </w:tcPr>
          <w:p>
            <w:pPr>
              <w:spacing w:after="0"/>
              <w:rPr>
                <w:sz w:val="11"/>
                <w:szCs w:val="11"/>
                <w:color w:val="auto"/>
              </w:rPr>
            </w:pPr>
          </w:p>
        </w:tc>
        <w:tc>
          <w:tcPr>
            <w:tcW w:w="7000" w:type="dxa"/>
            <w:vAlign w:val="bottom"/>
            <w:shd w:val="clear" w:color="auto" w:fill="1F3864"/>
          </w:tcPr>
          <w:p>
            <w:pPr>
              <w:spacing w:after="0"/>
              <w:rPr>
                <w:sz w:val="11"/>
                <w:szCs w:val="11"/>
                <w:color w:val="auto"/>
              </w:rPr>
            </w:pPr>
          </w:p>
        </w:tc>
      </w:tr>
    </w:tbl>
    <w:p>
      <w:pPr>
        <w:spacing w:after="0" w:line="8" w:lineRule="exact"/>
        <w:rPr>
          <w:sz w:val="20"/>
          <w:szCs w:val="20"/>
          <w:color w:val="auto"/>
        </w:rPr>
      </w:pPr>
    </w:p>
    <w:p>
      <w:pPr>
        <w:ind w:left="2920"/>
        <w:spacing w:after="0"/>
        <w:rPr>
          <w:sz w:val="20"/>
          <w:szCs w:val="20"/>
          <w:color w:val="auto"/>
        </w:rPr>
      </w:pPr>
      <w:r>
        <w:rPr>
          <w:rFonts w:ascii="Arial" w:cs="Arial" w:eastAsia="Arial" w:hAnsi="Arial"/>
          <w:sz w:val="17"/>
          <w:szCs w:val="17"/>
          <w:b w:val="1"/>
          <w:bCs w:val="1"/>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-1905</wp:posOffset>
            </wp:positionV>
            <wp:extent cx="1058545" cy="11220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58545" cy="112204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Joined in 2021</w:t>
      </w:r>
    </w:p>
    <w:p>
      <w:pPr>
        <w:ind w:left="320"/>
        <w:spacing w:after="0" w:line="237" w:lineRule="auto"/>
        <w:rPr>
          <w:sz w:val="20"/>
          <w:szCs w:val="20"/>
          <w:color w:val="auto"/>
        </w:rPr>
      </w:pPr>
      <w:r>
        <w:rPr>
          <w:rFonts w:ascii="Arial" w:cs="Arial" w:eastAsia="Arial" w:hAnsi="Arial"/>
          <w:sz w:val="17"/>
          <w:szCs w:val="17"/>
          <w:color w:val="auto"/>
        </w:rPr>
        <w:t>●     Age: 66</w:t>
      </w:r>
    </w:p>
    <w:p>
      <w:pPr>
        <w:spacing w:after="0" w:line="1" w:lineRule="exact"/>
        <w:rPr>
          <w:sz w:val="20"/>
          <w:szCs w:val="20"/>
          <w:color w:val="auto"/>
        </w:rPr>
      </w:pPr>
    </w:p>
    <w:p>
      <w:pPr>
        <w:ind w:left="620" w:hanging="298"/>
        <w:spacing w:after="0" w:line="255" w:lineRule="auto"/>
        <w:rPr>
          <w:sz w:val="20"/>
          <w:szCs w:val="20"/>
          <w:color w:val="auto"/>
        </w:rPr>
      </w:pPr>
      <w:r>
        <w:rPr>
          <w:rFonts w:ascii="Arial" w:cs="Arial" w:eastAsia="Arial" w:hAnsi="Arial"/>
          <w:sz w:val="16"/>
          <w:szCs w:val="16"/>
          <w:color w:val="auto"/>
        </w:rPr>
        <w:t>●     Committees: Audit, Compensation/Nominating &amp; Governance</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600" w:right="520" w:hanging="298"/>
        <w:spacing w:after="0" w:line="236" w:lineRule="auto"/>
        <w:rPr>
          <w:sz w:val="20"/>
          <w:szCs w:val="20"/>
          <w:color w:val="auto"/>
        </w:rPr>
      </w:pPr>
      <w:r>
        <w:rPr>
          <w:rFonts w:ascii="Arial" w:cs="Arial" w:eastAsia="Arial" w:hAnsi="Arial"/>
          <w:sz w:val="17"/>
          <w:szCs w:val="17"/>
          <w:color w:val="auto"/>
        </w:rPr>
        <w:t>●     Served as Executive Vice President and Chief Customer Officer, US Consumer Markets, for Liberty Mutual Insurance Company from 2014 to 2017</w:t>
      </w:r>
    </w:p>
    <w:p>
      <w:pPr>
        <w:spacing w:after="0" w:line="1" w:lineRule="exact"/>
        <w:rPr>
          <w:sz w:val="20"/>
          <w:szCs w:val="20"/>
          <w:color w:val="auto"/>
        </w:rPr>
      </w:pPr>
    </w:p>
    <w:p>
      <w:pPr>
        <w:ind w:left="600" w:right="100" w:hanging="298"/>
        <w:spacing w:after="0" w:line="236" w:lineRule="auto"/>
        <w:rPr>
          <w:sz w:val="20"/>
          <w:szCs w:val="20"/>
          <w:color w:val="auto"/>
        </w:rPr>
      </w:pPr>
      <w:r>
        <w:rPr>
          <w:rFonts w:ascii="Arial" w:cs="Arial" w:eastAsia="Arial" w:hAnsi="Arial"/>
          <w:sz w:val="17"/>
          <w:szCs w:val="17"/>
          <w:color w:val="auto"/>
        </w:rPr>
        <w:t>●     Senior Vice President and Chief Financial Officer, Personal Lines Insurance, for Liberty Mutual Insurance Company from 2002 to 2014</w:t>
      </w:r>
    </w:p>
    <w:p>
      <w:pPr>
        <w:spacing w:after="0" w:line="1" w:lineRule="exact"/>
        <w:rPr>
          <w:sz w:val="20"/>
          <w:szCs w:val="20"/>
          <w:color w:val="auto"/>
        </w:rPr>
      </w:pPr>
    </w:p>
    <w:p>
      <w:pPr>
        <w:ind w:left="300" w:right="1280"/>
        <w:spacing w:after="0" w:line="299" w:lineRule="auto"/>
        <w:rPr>
          <w:sz w:val="20"/>
          <w:szCs w:val="20"/>
          <w:color w:val="auto"/>
        </w:rPr>
      </w:pPr>
      <w:r>
        <w:rPr>
          <w:rFonts w:ascii="Arial" w:cs="Arial" w:eastAsia="Arial" w:hAnsi="Arial"/>
          <w:sz w:val="16"/>
          <w:szCs w:val="16"/>
          <w:color w:val="auto"/>
        </w:rPr>
        <w:t>●     Controller, Personal Markets, for Liberty Mutual Insurance Company from 1998 to 2001 ●     Served in various technology and finance roles for International Paper from 1984 to 1993</w:t>
      </w:r>
    </w:p>
    <w:p>
      <w:pPr>
        <w:spacing w:after="0" w:line="137" w:lineRule="exact"/>
        <w:rPr>
          <w:sz w:val="20"/>
          <w:szCs w:val="20"/>
          <w:color w:val="auto"/>
        </w:rPr>
      </w:pPr>
    </w:p>
    <w:p>
      <w:pPr>
        <w:ind w:right="420"/>
        <w:spacing w:after="0" w:line="254" w:lineRule="auto"/>
        <w:rPr>
          <w:sz w:val="20"/>
          <w:szCs w:val="20"/>
          <w:color w:val="auto"/>
        </w:rPr>
      </w:pPr>
      <w:r>
        <w:rPr>
          <w:rFonts w:ascii="Arial" w:cs="Arial" w:eastAsia="Arial" w:hAnsi="Arial"/>
          <w:sz w:val="17"/>
          <w:szCs w:val="17"/>
          <w:i w:val="1"/>
          <w:iCs w:val="1"/>
          <w:color w:val="auto"/>
        </w:rPr>
        <w:t>Ms. Dillon has extensive executive, financial, and property and casualty insurance expertise gained over the course of over 30 years in the insurance and manufacturing industries.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 Board Service:</w:t>
      </w:r>
    </w:p>
    <w:p>
      <w:pPr>
        <w:spacing w:after="0" w:line="2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Guidewire Software - Audit Committee (Public)</w:t>
      </w:r>
    </w:p>
    <w:p>
      <w:pPr>
        <w:spacing w:after="0" w:line="702" w:lineRule="exact"/>
        <w:rPr>
          <w:sz w:val="20"/>
          <w:szCs w:val="20"/>
          <w:color w:val="auto"/>
        </w:rPr>
      </w:pPr>
    </w:p>
    <w:p>
      <w:pPr>
        <w:sectPr>
          <w:pgSz w:w="11900" w:h="16838" w:orient="portrait"/>
          <w:cols w:equalWidth="0" w:num="2">
            <w:col w:w="2580" w:space="340"/>
            <w:col w:w="8320"/>
          </w:cols>
          <w:pgMar w:left="320" w:top="836" w:right="339" w:bottom="1440" w:gutter="0" w:footer="0" w:header="0"/>
          <w:type w:val="continuous"/>
        </w:sect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311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373"/>
        </w:trPr>
        <w:tc>
          <w:tcPr>
            <w:tcW w:w="4280" w:type="dxa"/>
            <w:vAlign w:val="bottom"/>
            <w:shd w:val="clear" w:color="auto" w:fill="1F3864"/>
          </w:tcPr>
          <w:p>
            <w:pPr>
              <w:ind w:left="740"/>
              <w:spacing w:after="0"/>
              <w:rPr>
                <w:sz w:val="20"/>
                <w:szCs w:val="20"/>
                <w:color w:val="auto"/>
              </w:rPr>
            </w:pPr>
            <w:r>
              <w:rPr>
                <w:rFonts w:ascii="Arial" w:cs="Arial" w:eastAsia="Arial" w:hAnsi="Arial"/>
                <w:sz w:val="17"/>
                <w:szCs w:val="17"/>
                <w:b w:val="1"/>
                <w:bCs w:val="1"/>
                <w:color w:val="FFFFFF"/>
              </w:rPr>
              <w:t>Philip A. Gelston</w:t>
            </w:r>
          </w:p>
        </w:tc>
        <w:tc>
          <w:tcPr>
            <w:tcW w:w="6960" w:type="dxa"/>
            <w:vAlign w:val="bottom"/>
            <w:shd w:val="clear" w:color="auto" w:fill="1F3864"/>
          </w:tcPr>
          <w:p>
            <w:pPr>
              <w:ind w:left="2200"/>
              <w:spacing w:after="0"/>
              <w:rPr>
                <w:sz w:val="20"/>
                <w:szCs w:val="20"/>
                <w:color w:val="auto"/>
              </w:rPr>
            </w:pPr>
            <w:r>
              <w:rPr>
                <w:rFonts w:ascii="Arial" w:cs="Arial" w:eastAsia="Arial" w:hAnsi="Arial"/>
                <w:sz w:val="17"/>
                <w:szCs w:val="17"/>
                <w:b w:val="1"/>
                <w:bCs w:val="1"/>
                <w:color w:val="FFFFFF"/>
              </w:rPr>
              <w:t>Qualifications</w:t>
            </w:r>
          </w:p>
        </w:tc>
      </w:tr>
      <w:tr>
        <w:trPr>
          <w:trHeight w:val="137"/>
        </w:trPr>
        <w:tc>
          <w:tcPr>
            <w:tcW w:w="4280" w:type="dxa"/>
            <w:vAlign w:val="bottom"/>
            <w:shd w:val="clear" w:color="auto" w:fill="1F3864"/>
          </w:tcPr>
          <w:p>
            <w:pPr>
              <w:spacing w:after="0"/>
              <w:rPr>
                <w:sz w:val="11"/>
                <w:szCs w:val="11"/>
                <w:color w:val="auto"/>
              </w:rPr>
            </w:pPr>
          </w:p>
        </w:tc>
        <w:tc>
          <w:tcPr>
            <w:tcW w:w="6960" w:type="dxa"/>
            <w:vAlign w:val="bottom"/>
            <w:shd w:val="clear" w:color="auto" w:fill="1F3864"/>
          </w:tcPr>
          <w:p>
            <w:pPr>
              <w:spacing w:after="0"/>
              <w:rPr>
                <w:sz w:val="11"/>
                <w:szCs w:val="11"/>
                <w:color w:val="auto"/>
              </w:rPr>
            </w:pPr>
          </w:p>
        </w:tc>
      </w:tr>
    </w:tbl>
    <w:p>
      <w:pPr>
        <w:ind w:left="29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523240</wp:posOffset>
            </wp:positionV>
            <wp:extent cx="7620" cy="3321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20" cy="332105"/>
                    </a:xfrm>
                    <a:prstGeom prst="rect">
                      <a:avLst/>
                    </a:prstGeom>
                    <a:noFill/>
                  </pic:spPr>
                </pic:pic>
              </a:graphicData>
            </a:graphic>
          </wp:anchor>
        </w:drawing>
        <w:drawing>
          <wp:anchor simplePos="0" relativeHeight="251657728" behindDoc="1" locked="0" layoutInCell="0" allowOverlap="1">
            <wp:simplePos x="0" y="0"/>
            <wp:positionH relativeFrom="page">
              <wp:posOffset>1988820</wp:posOffset>
            </wp:positionH>
            <wp:positionV relativeFrom="page">
              <wp:posOffset>523240</wp:posOffset>
            </wp:positionV>
            <wp:extent cx="7620" cy="3321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20" cy="332105"/>
                    </a:xfrm>
                    <a:prstGeom prst="rect">
                      <a:avLst/>
                    </a:prstGeom>
                    <a:noFill/>
                  </pic:spPr>
                </pic:pic>
              </a:graphicData>
            </a:graphic>
          </wp:anchor>
        </w:drawing>
        <w:t>Experience:</w:t>
      </w:r>
    </w:p>
    <w:p>
      <w:pPr>
        <w:spacing w:after="0" w:line="3" w:lineRule="exact"/>
        <w:rPr>
          <w:sz w:val="20"/>
          <w:szCs w:val="20"/>
          <w:color w:val="auto"/>
        </w:rPr>
      </w:pPr>
    </w:p>
    <w:p>
      <w:pPr>
        <w:ind w:left="3220" w:right="140"/>
        <w:spacing w:after="0" w:line="229" w:lineRule="auto"/>
        <w:rPr>
          <w:sz w:val="20"/>
          <w:szCs w:val="20"/>
          <w:color w:val="auto"/>
        </w:rPr>
      </w:pPr>
      <w:r>
        <w:rPr>
          <w:rFonts w:ascii="Arial" w:cs="Arial" w:eastAsia="Arial" w:hAnsi="Arial"/>
          <w:sz w:val="17"/>
          <w:szCs w:val="17"/>
          <w:color w:val="auto"/>
        </w:rPr>
        <w:t>●      Joined Cravath, Swaine &amp; Moore LLP in 1978, became a partner in 1984, and retired in December 2017 ●     Currently advises Cravath regarding governance, risk management, professional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-235585</wp:posOffset>
            </wp:positionV>
            <wp:extent cx="1193165" cy="13036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93165" cy="1303655"/>
                    </a:xfrm>
                    <a:prstGeom prst="rect">
                      <a:avLst/>
                    </a:prstGeom>
                    <a:noFill/>
                  </pic:spPr>
                </pic:pic>
              </a:graphicData>
            </a:graphic>
          </wp:anchor>
        </w:drawing>
      </w:r>
    </w:p>
    <w:p>
      <w:pPr>
        <w:ind w:left="3520"/>
        <w:spacing w:after="0" w:line="229" w:lineRule="auto"/>
        <w:rPr>
          <w:sz w:val="20"/>
          <w:szCs w:val="20"/>
          <w:color w:val="auto"/>
        </w:rPr>
      </w:pPr>
      <w:r>
        <w:rPr>
          <w:rFonts w:ascii="Arial" w:cs="Arial" w:eastAsia="Arial" w:hAnsi="Arial"/>
          <w:sz w:val="17"/>
          <w:szCs w:val="17"/>
          <w:color w:val="auto"/>
        </w:rPr>
        <w:t>requirements and compliance issues</w:t>
      </w:r>
    </w:p>
    <w:p>
      <w:pPr>
        <w:ind w:left="3520" w:right="160" w:hanging="298"/>
        <w:spacing w:after="0" w:line="243" w:lineRule="auto"/>
        <w:rPr>
          <w:sz w:val="20"/>
          <w:szCs w:val="20"/>
          <w:color w:val="auto"/>
        </w:rPr>
      </w:pPr>
      <w:r>
        <w:rPr>
          <w:rFonts w:ascii="Arial" w:cs="Arial" w:eastAsia="Arial" w:hAnsi="Arial"/>
          <w:sz w:val="16"/>
          <w:szCs w:val="16"/>
          <w:color w:val="auto"/>
        </w:rPr>
        <w:t>●      Has extensive experience in mergers and acquisitions, joint ventures and general corporate counseling, encompassing complicated negotiated transactions, hostile transactions (both offense and defense), cross border transactions, activist defense, and advising boards and senior executives, particularly on complex transactions, corporate governance and managing crisis situations</w:t>
      </w:r>
    </w:p>
    <w:p>
      <w:pPr>
        <w:spacing w:after="0" w:line="1"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      Serves as a Trustee for the Friends of Democracy Prep New York Charter Schools</w:t>
      </w:r>
    </w:p>
    <w:p>
      <w:pPr>
        <w:spacing w:after="0" w:line="164" w:lineRule="exact"/>
        <w:rPr>
          <w:sz w:val="20"/>
          <w:szCs w:val="20"/>
          <w:color w:val="auto"/>
        </w:rPr>
      </w:pPr>
    </w:p>
    <w:p>
      <w:pPr>
        <w:ind w:left="2920" w:right="220"/>
        <w:spacing w:after="0" w:line="254" w:lineRule="auto"/>
        <w:rPr>
          <w:sz w:val="20"/>
          <w:szCs w:val="20"/>
          <w:color w:val="auto"/>
        </w:rPr>
      </w:pPr>
      <w:r>
        <w:rPr>
          <w:rFonts w:ascii="Arial" w:cs="Arial" w:eastAsia="Arial" w:hAnsi="Arial"/>
          <w:sz w:val="17"/>
          <w:szCs w:val="17"/>
          <w:i w:val="1"/>
          <w:iCs w:val="1"/>
          <w:color w:val="auto"/>
        </w:rPr>
        <w:t>Mr. Gelston has extensive legal and management expertise gained over the course of his 40-year career in the legal field.</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Joined in 2018</w:t>
      </w:r>
    </w:p>
    <w:p>
      <w:pPr>
        <w:ind w:left="320"/>
        <w:spacing w:after="0" w:line="237" w:lineRule="auto"/>
        <w:rPr>
          <w:sz w:val="20"/>
          <w:szCs w:val="20"/>
          <w:color w:val="auto"/>
        </w:rPr>
      </w:pPr>
      <w:r>
        <w:rPr>
          <w:rFonts w:ascii="Arial" w:cs="Arial" w:eastAsia="Arial" w:hAnsi="Arial"/>
          <w:sz w:val="17"/>
          <w:szCs w:val="17"/>
          <w:color w:val="auto"/>
        </w:rPr>
        <w:t>●     Age: 73</w:t>
      </w:r>
    </w:p>
    <w:p>
      <w:pPr>
        <w:ind w:left="320"/>
        <w:spacing w:after="0" w:line="230" w:lineRule="auto"/>
        <w:rPr>
          <w:sz w:val="20"/>
          <w:szCs w:val="20"/>
          <w:color w:val="auto"/>
        </w:rPr>
      </w:pPr>
      <w:r>
        <w:rPr>
          <w:rFonts w:ascii="Arial" w:cs="Arial" w:eastAsia="Arial" w:hAnsi="Arial"/>
          <w:sz w:val="17"/>
          <w:szCs w:val="17"/>
          <w:color w:val="auto"/>
        </w:rPr>
        <w:t>●     Committees: Audit,</w:t>
      </w:r>
    </w:p>
    <w:p>
      <w:pPr>
        <w:ind w:left="620"/>
        <w:spacing w:after="0" w:line="229" w:lineRule="auto"/>
        <w:rPr>
          <w:sz w:val="20"/>
          <w:szCs w:val="20"/>
          <w:color w:val="auto"/>
        </w:rPr>
      </w:pPr>
      <w:r>
        <w:rPr>
          <w:rFonts w:ascii="Arial" w:cs="Arial" w:eastAsia="Arial" w:hAnsi="Arial"/>
          <w:sz w:val="17"/>
          <w:szCs w:val="17"/>
          <w:color w:val="auto"/>
        </w:rPr>
        <w:t>Compensation/Nominating</w:t>
      </w:r>
    </w:p>
    <w:p>
      <w:pPr>
        <w:ind w:left="620" w:right="8960" w:firstLine="4"/>
        <w:spacing w:after="0" w:line="238" w:lineRule="auto"/>
        <w:tabs>
          <w:tab w:leader="none" w:pos="777" w:val="left"/>
        </w:tabs>
        <w:numPr>
          <w:ilvl w:val="0"/>
          <w:numId w:val="12"/>
        </w:numPr>
        <w:rPr>
          <w:rFonts w:ascii="Arial" w:cs="Arial" w:eastAsia="Arial" w:hAnsi="Arial"/>
          <w:sz w:val="17"/>
          <w:szCs w:val="17"/>
          <w:color w:val="auto"/>
        </w:rPr>
      </w:pPr>
      <w:r>
        <w:rPr>
          <w:rFonts w:ascii="Arial" w:cs="Arial" w:eastAsia="Arial" w:hAnsi="Arial"/>
          <w:sz w:val="17"/>
          <w:szCs w:val="17"/>
          <w:color w:val="auto"/>
        </w:rPr>
        <w:t>Governance (Chair),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504825</wp:posOffset>
            </wp:positionV>
            <wp:extent cx="7143115" cy="3397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3115" cy="33972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left="540"/>
        <w:spacing w:after="0"/>
        <w:rPr>
          <w:sz w:val="20"/>
          <w:szCs w:val="20"/>
          <w:color w:val="auto"/>
        </w:rPr>
      </w:pPr>
      <w:r>
        <w:rPr>
          <w:rFonts w:ascii="Arial" w:cs="Arial" w:eastAsia="Arial" w:hAnsi="Arial"/>
          <w:sz w:val="17"/>
          <w:szCs w:val="17"/>
          <w:b w:val="1"/>
          <w:bCs w:val="1"/>
          <w:color w:val="FFFFFF"/>
        </w:rPr>
        <w:t>David A. Tanner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234315</wp:posOffset>
            </wp:positionV>
            <wp:extent cx="1161415" cy="129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61415" cy="129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Joined in 2018</w:t>
      </w:r>
    </w:p>
    <w:p>
      <w:pPr>
        <w:ind w:left="320"/>
        <w:spacing w:after="0" w:line="237" w:lineRule="auto"/>
        <w:rPr>
          <w:sz w:val="20"/>
          <w:szCs w:val="20"/>
          <w:color w:val="auto"/>
        </w:rPr>
      </w:pPr>
      <w:r>
        <w:rPr>
          <w:rFonts w:ascii="Arial" w:cs="Arial" w:eastAsia="Arial" w:hAnsi="Arial"/>
          <w:sz w:val="17"/>
          <w:szCs w:val="17"/>
          <w:color w:val="auto"/>
        </w:rPr>
        <w:t>●       Age: 67</w:t>
      </w:r>
    </w:p>
    <w:p>
      <w:pPr>
        <w:spacing w:after="0" w:line="1" w:lineRule="exact"/>
        <w:rPr>
          <w:sz w:val="20"/>
          <w:szCs w:val="20"/>
          <w:color w:val="auto"/>
        </w:rPr>
      </w:pPr>
    </w:p>
    <w:p>
      <w:pPr>
        <w:ind w:left="320"/>
        <w:spacing w:after="0" w:line="267" w:lineRule="auto"/>
        <w:rPr>
          <w:sz w:val="20"/>
          <w:szCs w:val="20"/>
          <w:color w:val="auto"/>
        </w:rPr>
      </w:pPr>
      <w:r>
        <w:rPr>
          <w:rFonts w:ascii="Arial" w:cs="Arial" w:eastAsia="Arial" w:hAnsi="Arial"/>
          <w:sz w:val="16"/>
          <w:szCs w:val="16"/>
          <w:color w:val="auto"/>
        </w:rPr>
        <w:t>●       Deputy Chairman of the Board ●       Committees: Audit, 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80"/>
        <w:spacing w:after="0"/>
        <w:rPr>
          <w:sz w:val="20"/>
          <w:szCs w:val="20"/>
          <w:color w:val="auto"/>
        </w:rPr>
      </w:pPr>
      <w:r>
        <w:rPr>
          <w:rFonts w:ascii="Arial" w:cs="Arial" w:eastAsia="Arial" w:hAnsi="Arial"/>
          <w:sz w:val="17"/>
          <w:szCs w:val="17"/>
          <w:b w:val="1"/>
          <w:bCs w:val="1"/>
          <w:color w:val="FFFFFF"/>
        </w:rPr>
        <w:t>Qualifications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Experience:</w:t>
      </w:r>
    </w:p>
    <w:p>
      <w:pPr>
        <w:ind w:left="300"/>
        <w:spacing w:after="0" w:line="237" w:lineRule="auto"/>
        <w:rPr>
          <w:sz w:val="20"/>
          <w:szCs w:val="20"/>
          <w:color w:val="auto"/>
        </w:rPr>
      </w:pPr>
      <w:r>
        <w:rPr>
          <w:rFonts w:ascii="Arial" w:cs="Arial" w:eastAsia="Arial" w:hAnsi="Arial"/>
          <w:sz w:val="17"/>
          <w:szCs w:val="17"/>
          <w:color w:val="auto"/>
        </w:rPr>
        <w:t>●      Appointed Deputy Chairman of the Board in February 2020</w:t>
      </w:r>
    </w:p>
    <w:p>
      <w:pPr>
        <w:ind w:left="300"/>
        <w:spacing w:after="0" w:line="230" w:lineRule="auto"/>
        <w:rPr>
          <w:sz w:val="20"/>
          <w:szCs w:val="20"/>
          <w:color w:val="auto"/>
        </w:rPr>
      </w:pPr>
      <w:r>
        <w:rPr>
          <w:rFonts w:ascii="Arial" w:cs="Arial" w:eastAsia="Arial" w:hAnsi="Arial"/>
          <w:sz w:val="17"/>
          <w:szCs w:val="17"/>
          <w:color w:val="auto"/>
        </w:rPr>
        <w:t>●      Managing Director of Three Mile Capital LLC, a private investment company</w:t>
      </w:r>
    </w:p>
    <w:p>
      <w:pPr>
        <w:ind w:left="600" w:right="420" w:hanging="298"/>
        <w:spacing w:after="0" w:line="243" w:lineRule="auto"/>
        <w:rPr>
          <w:sz w:val="20"/>
          <w:szCs w:val="20"/>
          <w:color w:val="auto"/>
        </w:rPr>
      </w:pPr>
      <w:r>
        <w:rPr>
          <w:rFonts w:ascii="Arial" w:cs="Arial" w:eastAsia="Arial" w:hAnsi="Arial"/>
          <w:sz w:val="16"/>
          <w:szCs w:val="16"/>
          <w:color w:val="auto"/>
        </w:rPr>
        <w:t>●      Served as the Managing Director of Arlon Group LLC and as Executive Vice President and a member of the Management Committee of Continental Grain Company from 2006 to 2017</w:t>
      </w:r>
    </w:p>
    <w:p>
      <w:pPr>
        <w:ind w:left="300"/>
        <w:spacing w:after="0" w:line="230" w:lineRule="auto"/>
        <w:rPr>
          <w:sz w:val="20"/>
          <w:szCs w:val="20"/>
          <w:color w:val="auto"/>
        </w:rPr>
      </w:pPr>
      <w:r>
        <w:rPr>
          <w:rFonts w:ascii="Arial" w:cs="Arial" w:eastAsia="Arial" w:hAnsi="Arial"/>
          <w:sz w:val="17"/>
          <w:szCs w:val="17"/>
          <w:color w:val="auto"/>
        </w:rPr>
        <w:t>●      Founder and Managing Principal of Quadrangle Group, LLC from 2000 to 2006</w:t>
      </w:r>
    </w:p>
    <w:p>
      <w:pPr>
        <w:ind w:left="600" w:right="380" w:hanging="298"/>
        <w:spacing w:after="0" w:line="229" w:lineRule="auto"/>
        <w:rPr>
          <w:sz w:val="20"/>
          <w:szCs w:val="20"/>
          <w:color w:val="auto"/>
        </w:rPr>
      </w:pPr>
      <w:r>
        <w:rPr>
          <w:rFonts w:ascii="Arial" w:cs="Arial" w:eastAsia="Arial" w:hAnsi="Arial"/>
          <w:sz w:val="17"/>
          <w:szCs w:val="17"/>
          <w:color w:val="auto"/>
        </w:rPr>
        <w:t>●      Managing Director at Lazard Freres &amp; Co. and Managing Principal at Lazard Capital Partners from 1998 to 2000</w:t>
      </w:r>
    </w:p>
    <w:p>
      <w:pPr>
        <w:ind w:left="600" w:right="100" w:hanging="298"/>
        <w:spacing w:after="0" w:line="233" w:lineRule="auto"/>
        <w:rPr>
          <w:sz w:val="20"/>
          <w:szCs w:val="20"/>
          <w:color w:val="auto"/>
        </w:rPr>
      </w:pPr>
      <w:r>
        <w:rPr>
          <w:rFonts w:ascii="Arial" w:cs="Arial" w:eastAsia="Arial" w:hAnsi="Arial"/>
          <w:sz w:val="17"/>
          <w:szCs w:val="17"/>
          <w:color w:val="auto"/>
        </w:rPr>
        <w:t>●      Serves as Chairman of the Board of the New York University School of Law, Trustee of New York University, Director of Lawyers for Children, Director of The Carroll and Milton Petrie Foundation, Trustee of Central Synagogue, Director of The Health Initiative and a member of the Council on Foreign Relations</w:t>
      </w:r>
    </w:p>
    <w:p>
      <w:pPr>
        <w:spacing w:after="0" w:line="160" w:lineRule="exact"/>
        <w:rPr>
          <w:sz w:val="20"/>
          <w:szCs w:val="20"/>
          <w:color w:val="auto"/>
        </w:rPr>
      </w:pPr>
    </w:p>
    <w:p>
      <w:pPr>
        <w:ind w:right="520"/>
        <w:spacing w:after="0" w:line="254" w:lineRule="auto"/>
        <w:rPr>
          <w:sz w:val="20"/>
          <w:szCs w:val="20"/>
          <w:color w:val="auto"/>
        </w:rPr>
      </w:pPr>
      <w:r>
        <w:rPr>
          <w:rFonts w:ascii="Arial" w:cs="Arial" w:eastAsia="Arial" w:hAnsi="Arial"/>
          <w:sz w:val="17"/>
          <w:szCs w:val="17"/>
          <w:i w:val="1"/>
          <w:iCs w:val="1"/>
          <w:color w:val="auto"/>
        </w:rPr>
        <w:t>Mr. Tanner has extensive executive and board-level service and financial expertise gained over the course of almost 40 years in the financial services industry.</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 Board Service:</w:t>
      </w:r>
    </w:p>
    <w:p>
      <w:pPr>
        <w:spacing w:after="0" w:line="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Northeast Bancorp (Public)</w:t>
      </w:r>
    </w:p>
    <w:p>
      <w:pPr>
        <w:spacing w:after="0" w:line="200" w:lineRule="exact"/>
        <w:rPr>
          <w:sz w:val="20"/>
          <w:szCs w:val="20"/>
          <w:color w:val="auto"/>
        </w:rPr>
      </w:pPr>
    </w:p>
    <w:p>
      <w:pPr>
        <w:sectPr>
          <w:pgSz w:w="11900" w:h="16838" w:orient="portrait"/>
          <w:cols w:equalWidth="0" w:num="2">
            <w:col w:w="2840" w:space="640"/>
            <w:col w:w="7760"/>
          </w:cols>
          <w:pgMar w:left="320" w:top="824" w:right="339" w:bottom="1440" w:gutter="0" w:footer="0" w:header="0"/>
          <w:type w:val="continuous"/>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311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type w:val="continuous"/>
        </w:sectPr>
      </w:pPr>
    </w:p>
    <w:bookmarkStart w:id="20" w:name="page21"/>
    <w:bookmarkEnd w:id="20"/>
    <w:p>
      <w:pPr>
        <w:jc w:val="center"/>
        <w:ind w:right="-19"/>
        <w:spacing w:after="0"/>
        <w:rPr>
          <w:sz w:val="20"/>
          <w:szCs w:val="20"/>
          <w:color w:val="auto"/>
        </w:rPr>
      </w:pPr>
      <w:r>
        <w:rPr>
          <w:rFonts w:ascii="Arial" w:cs="Arial" w:eastAsia="Arial" w:hAnsi="Arial"/>
          <w:sz w:val="18"/>
          <w:szCs w:val="18"/>
          <w:color w:val="auto"/>
        </w:rPr>
        <w:t>CORPORATE GOVERNANCE</w:t>
      </w:r>
    </w:p>
    <w:p>
      <w:pPr>
        <w:spacing w:after="0" w:line="278" w:lineRule="exact"/>
        <w:rPr>
          <w:sz w:val="20"/>
          <w:szCs w:val="20"/>
          <w:color w:val="auto"/>
        </w:rPr>
      </w:pPr>
    </w:p>
    <w:p>
      <w:pPr>
        <w:ind w:right="340" w:firstLine="299"/>
        <w:spacing w:after="0" w:line="250" w:lineRule="auto"/>
        <w:rPr>
          <w:sz w:val="20"/>
          <w:szCs w:val="20"/>
          <w:color w:val="auto"/>
        </w:rPr>
      </w:pPr>
      <w:r>
        <w:rPr>
          <w:rFonts w:ascii="Arial" w:cs="Arial" w:eastAsia="Arial" w:hAnsi="Arial"/>
          <w:sz w:val="18"/>
          <w:szCs w:val="18"/>
          <w:color w:val="auto"/>
        </w:rPr>
        <w:t>We are committed to the ethical conduct of our business. This commitment is reflected in our corporate governance and in our corporate values and culture. Our corporate governance helps us to mitigate and manage risks by providing clear lines of oversight and responsibility for management and the Board. We review and seek to improve our corporate governance regularly.</w:t>
      </w:r>
    </w:p>
    <w:p>
      <w:pPr>
        <w:spacing w:after="0" w:line="137" w:lineRule="exact"/>
        <w:rPr>
          <w:sz w:val="20"/>
          <w:szCs w:val="20"/>
          <w:color w:val="auto"/>
        </w:rPr>
      </w:pPr>
    </w:p>
    <w:p>
      <w:pPr>
        <w:ind w:right="180" w:firstLine="299"/>
        <w:spacing w:after="0" w:line="244" w:lineRule="auto"/>
        <w:rPr>
          <w:sz w:val="20"/>
          <w:szCs w:val="20"/>
          <w:color w:val="auto"/>
        </w:rPr>
      </w:pPr>
      <w:r>
        <w:rPr>
          <w:rFonts w:ascii="Arial" w:cs="Arial" w:eastAsia="Arial" w:hAnsi="Arial"/>
          <w:sz w:val="18"/>
          <w:szCs w:val="18"/>
          <w:color w:val="auto"/>
        </w:rPr>
        <w:t>The Company’s Corporate Governance Guidelines spell out our overall approach towards corporate governance. The Company also has a Code of Business Conduct that applies to all directors, officers and employees in carrying out their responsibilities to, and on behalf of, the Company. No waivers of the Code of Business Conduct were requested of, or granted by, the Board for any director or executive officer during 2025.</w:t>
      </w:r>
    </w:p>
    <w:p>
      <w:pPr>
        <w:spacing w:after="0" w:line="154" w:lineRule="exact"/>
        <w:rPr>
          <w:sz w:val="20"/>
          <w:szCs w:val="20"/>
          <w:color w:val="auto"/>
        </w:rPr>
      </w:pPr>
    </w:p>
    <w:p>
      <w:pPr>
        <w:jc w:val="both"/>
        <w:ind w:right="1900" w:firstLine="299"/>
        <w:spacing w:after="0" w:line="270" w:lineRule="auto"/>
        <w:rPr>
          <w:sz w:val="20"/>
          <w:szCs w:val="20"/>
          <w:color w:val="auto"/>
        </w:rPr>
      </w:pPr>
      <w:r>
        <w:rPr>
          <w:rFonts w:ascii="Arial" w:cs="Arial" w:eastAsia="Arial" w:hAnsi="Arial"/>
          <w:sz w:val="18"/>
          <w:szCs w:val="18"/>
          <w:color w:val="auto"/>
        </w:rPr>
        <w:t xml:space="preserve">The Company’s Corporate Governance Guidelines and Code of Business Conduct are available on our website, </w:t>
      </w:r>
      <w:r>
        <w:rPr>
          <w:rFonts w:ascii="Arial" w:cs="Arial" w:eastAsia="Arial" w:hAnsi="Arial"/>
          <w:sz w:val="18"/>
          <w:szCs w:val="18"/>
          <w:i w:val="1"/>
          <w:iCs w:val="1"/>
          <w:u w:val="single" w:color="auto"/>
          <w:color w:val="0000FF"/>
        </w:rPr>
        <w:t>www.whitemountains.com</w:t>
      </w:r>
      <w:r>
        <w:rPr>
          <w:rFonts w:ascii="Arial" w:cs="Arial" w:eastAsia="Arial" w:hAnsi="Arial"/>
          <w:sz w:val="18"/>
          <w:szCs w:val="18"/>
          <w:color w:val="000000"/>
        </w:rPr>
        <w:t>. These documents are available in print, free of charge, to any shareholder upon request.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w:t>
      </w:r>
    </w:p>
    <w:p>
      <w:pPr>
        <w:spacing w:after="0" w:line="189" w:lineRule="exact"/>
        <w:rPr>
          <w:sz w:val="20"/>
          <w:szCs w:val="20"/>
          <w:color w:val="auto"/>
        </w:rPr>
      </w:pPr>
    </w:p>
    <w:p>
      <w:pPr>
        <w:ind w:firstLine="299"/>
        <w:spacing w:after="0" w:line="250" w:lineRule="auto"/>
        <w:rPr>
          <w:sz w:val="20"/>
          <w:szCs w:val="20"/>
          <w:color w:val="auto"/>
        </w:rPr>
      </w:pPr>
      <w:r>
        <w:rPr>
          <w:rFonts w:ascii="Arial" w:cs="Arial" w:eastAsia="Arial" w:hAnsi="Arial"/>
          <w:sz w:val="18"/>
          <w:szCs w:val="18"/>
          <w:color w:val="auto"/>
        </w:rPr>
        <w:t>The primary responsibility of the Board is to oversee and review management’s performance in order to advance the long-term interests of the Company and its shareholders. The day-to-day management of the Company, including preparation of financial statements and short-term and long-term strategic planning, is the responsibility of management.</w:t>
      </w:r>
    </w:p>
    <w:p>
      <w:pPr>
        <w:spacing w:after="0" w:line="150" w:lineRule="exact"/>
        <w:rPr>
          <w:sz w:val="20"/>
          <w:szCs w:val="20"/>
          <w:color w:val="auto"/>
        </w:rPr>
      </w:pPr>
    </w:p>
    <w:p>
      <w:pPr>
        <w:ind w:right="80" w:firstLine="299"/>
        <w:spacing w:after="0" w:line="236" w:lineRule="auto"/>
        <w:rPr>
          <w:sz w:val="20"/>
          <w:szCs w:val="20"/>
          <w:color w:val="auto"/>
        </w:rPr>
      </w:pPr>
      <w:r>
        <w:rPr>
          <w:rFonts w:ascii="Arial" w:cs="Arial" w:eastAsia="Arial" w:hAnsi="Arial"/>
          <w:sz w:val="18"/>
          <w:szCs w:val="18"/>
          <w:color w:val="auto"/>
        </w:rPr>
        <w:t>In fulfilling their responsibility, directors must exercise common sense business judgment and act in what they reasonably believe to be in the best interests of the Company. Directors keep themselves informed by discussing matters with the CEO, other key executives and our principal external advisors, such as legal counsel, outside auditors and other consultants, by reading the reports and other materials that management sends them regularly, and by participating actively in Board and committee meetings. Directors are entitled to rely on the honesty and integrity of senior management and the Company’s outside advisors and auditors. However, it is the Board’s responsibility to establish that they have a reasonable basis for such reliance by ensuring that they have a strong foundation for trusting the integrity, honesty and undivided loyalty of the senior management team upon whom they are relying and the independence and expertise of outside advisors and auditors.</w:t>
      </w:r>
    </w:p>
    <w:p>
      <w:pPr>
        <w:spacing w:after="0" w:line="164" w:lineRule="exact"/>
        <w:rPr>
          <w:sz w:val="20"/>
          <w:szCs w:val="20"/>
          <w:color w:val="auto"/>
        </w:rPr>
      </w:pPr>
    </w:p>
    <w:p>
      <w:pPr>
        <w:ind w:right="100" w:firstLine="299"/>
        <w:spacing w:after="0" w:line="244" w:lineRule="auto"/>
        <w:rPr>
          <w:sz w:val="20"/>
          <w:szCs w:val="20"/>
          <w:color w:val="auto"/>
        </w:rPr>
      </w:pPr>
      <w:r>
        <w:rPr>
          <w:rFonts w:ascii="Arial" w:cs="Arial" w:eastAsia="Arial" w:hAnsi="Arial"/>
          <w:sz w:val="18"/>
          <w:szCs w:val="18"/>
          <w:color w:val="auto"/>
        </w:rPr>
        <w:t>Mr. Hicks, an independent director, serves as Chairman of the Board. At meetings of the Board, Mr. Hicks presides over a separate session of non-management directors without Company management present. In addition to being led by an independent Board Chair, the Board is comprised of directors who, together, are knowledgeable and experienced in the Company’s business. The Board is satisfied that the current structure provides strong oversight of the Company’s affairs.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Engagement</w:t>
      </w:r>
    </w:p>
    <w:p>
      <w:pPr>
        <w:spacing w:after="0" w:line="189" w:lineRule="exact"/>
        <w:rPr>
          <w:sz w:val="20"/>
          <w:szCs w:val="20"/>
          <w:color w:val="auto"/>
        </w:rPr>
      </w:pPr>
    </w:p>
    <w:p>
      <w:pPr>
        <w:ind w:right="120" w:firstLine="299"/>
        <w:spacing w:after="0" w:line="237" w:lineRule="auto"/>
        <w:rPr>
          <w:sz w:val="20"/>
          <w:szCs w:val="20"/>
          <w:color w:val="auto"/>
        </w:rPr>
      </w:pPr>
      <w:r>
        <w:rPr>
          <w:rFonts w:ascii="Arial" w:cs="Arial" w:eastAsia="Arial" w:hAnsi="Arial"/>
          <w:sz w:val="18"/>
          <w:szCs w:val="18"/>
          <w:color w:val="auto"/>
        </w:rPr>
        <w:t>Shareholder engagement is of great importance to our Board and management team as a means to solicit feedback and to ensure accountability and responsiveness to our shareholders. We recognize the value of maintaining open lines of communication with our shareholders and consider our robust annual shareholder outreach program to be an important governance tool. In these meetings, we address any trends, topics or issues that participating shareholders wish to discuss with us. As part of our shareholder engagement efforts in 2025, we reached out to shareholders owning 75% of outstanding shares and met with all shareholders who accepted a meeting, who represented 31% of outstanding shares. Our Compensation / Nominating &amp; Governance Committee Chair personally led discussions in meetings with shareholders representing 8% of outstanding shares.</w:t>
      </w:r>
    </w:p>
    <w:p>
      <w:pPr>
        <w:spacing w:after="0" w:line="162" w:lineRule="exact"/>
        <w:rPr>
          <w:sz w:val="20"/>
          <w:szCs w:val="20"/>
          <w:color w:val="auto"/>
        </w:rPr>
      </w:pPr>
    </w:p>
    <w:p>
      <w:pPr>
        <w:ind w:right="60" w:firstLine="299"/>
        <w:spacing w:after="0" w:line="237" w:lineRule="auto"/>
        <w:rPr>
          <w:sz w:val="20"/>
          <w:szCs w:val="20"/>
          <w:color w:val="auto"/>
        </w:rPr>
      </w:pPr>
      <w:r>
        <w:rPr>
          <w:rFonts w:ascii="Arial" w:cs="Arial" w:eastAsia="Arial" w:hAnsi="Arial"/>
          <w:sz w:val="18"/>
          <w:szCs w:val="18"/>
          <w:color w:val="auto"/>
        </w:rPr>
        <w:t>These discussions centered around our business performance and outlook, capital deployment, executive compensation practices, corporate governance and ESG. More specifically, we discussed (i) our business performance in 2025, including the sale of Bamboo and capital deployments into Distinguished Programs, BroadStreet Partners and Enterprise Solutions, (ii) our approach to capital management, including the Company’s self-tender offer, (iii) the Company’s CEO and CFO succession, (iv) board composition and the alignment of directors’ skills with our businesses, (v) our board refreshment and the diversity of skills, experience and background that enable effective oversight of our business, (vi) our executive compensation program and how our rigorous performance targets align payouts with company performance, and (vii) our ESG and cybersecurity practices.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21" w:name="page22"/>
    <w:bookmarkEnd w:id="21"/>
    <w:p>
      <w:pPr>
        <w:jc w:val="both"/>
        <w:ind w:right="400" w:firstLine="299"/>
        <w:spacing w:after="0" w:line="250" w:lineRule="auto"/>
        <w:rPr>
          <w:sz w:val="20"/>
          <w:szCs w:val="20"/>
          <w:color w:val="auto"/>
        </w:rPr>
      </w:pPr>
      <w:r>
        <w:rPr>
          <w:rFonts w:ascii="Arial" w:cs="Arial" w:eastAsia="Arial" w:hAnsi="Arial"/>
          <w:sz w:val="18"/>
          <w:szCs w:val="18"/>
          <w:color w:val="auto"/>
        </w:rPr>
        <w:t>Our shareholders expressed support for our executive compensation program and its alignment of pay with performance, our ESG practices and proxy disclosures focused on board composition, and our thoughtful approach to capital deployment and value creation through effective stewardship of capital. Our shareholders were supportive of our approach in 2025.</w:t>
      </w:r>
    </w:p>
    <w:p>
      <w:pPr>
        <w:spacing w:after="0" w:line="150" w:lineRule="exact"/>
        <w:rPr>
          <w:sz w:val="20"/>
          <w:szCs w:val="20"/>
          <w:color w:val="auto"/>
        </w:rPr>
      </w:pPr>
    </w:p>
    <w:p>
      <w:pPr>
        <w:ind w:right="560" w:firstLine="299"/>
        <w:spacing w:after="0" w:line="270" w:lineRule="auto"/>
        <w:rPr>
          <w:sz w:val="20"/>
          <w:szCs w:val="20"/>
          <w:color w:val="auto"/>
        </w:rPr>
      </w:pPr>
      <w:r>
        <w:rPr>
          <w:rFonts w:ascii="Arial" w:cs="Arial" w:eastAsia="Arial" w:hAnsi="Arial"/>
          <w:sz w:val="18"/>
          <w:szCs w:val="18"/>
          <w:color w:val="auto"/>
        </w:rPr>
        <w:t>Investors also expressed interest in our Board’s annual evaluation process. We have provided information on the Board’s annual evaluation process in the section “Board and Committee Evaluations” on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1730375</wp:posOffset>
            </wp:positionH>
            <wp:positionV relativeFrom="paragraph">
              <wp:posOffset>97155</wp:posOffset>
            </wp:positionV>
            <wp:extent cx="3689985" cy="1659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689985" cy="1659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20" w:firstLine="299"/>
        <w:spacing w:after="0" w:line="270" w:lineRule="auto"/>
        <w:rPr>
          <w:sz w:val="20"/>
          <w:szCs w:val="20"/>
          <w:color w:val="auto"/>
        </w:rPr>
      </w:pPr>
      <w:r>
        <w:rPr>
          <w:rFonts w:ascii="Arial" w:cs="Arial" w:eastAsia="Arial" w:hAnsi="Arial"/>
          <w:sz w:val="18"/>
          <w:szCs w:val="18"/>
          <w:color w:val="auto"/>
        </w:rPr>
        <w:t>Our Annual Investor Meeting provides another opportunity for us to engage with our shareholders. The Company will hold its 2026 Annual Investor Meeting on Friday, June 5, 2026. Please refer to the Company’s website for further details.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89" w:lineRule="exact"/>
        <w:rPr>
          <w:sz w:val="20"/>
          <w:szCs w:val="20"/>
          <w:color w:val="auto"/>
        </w:rPr>
      </w:pPr>
    </w:p>
    <w:p>
      <w:pPr>
        <w:ind w:firstLine="299"/>
        <w:spacing w:after="0" w:line="238" w:lineRule="auto"/>
        <w:rPr>
          <w:sz w:val="20"/>
          <w:szCs w:val="20"/>
          <w:color w:val="auto"/>
        </w:rPr>
      </w:pPr>
      <w:r>
        <w:rPr>
          <w:rFonts w:ascii="Arial" w:cs="Arial" w:eastAsia="Arial" w:hAnsi="Arial"/>
          <w:sz w:val="18"/>
          <w:szCs w:val="18"/>
          <w:color w:val="auto"/>
        </w:rPr>
        <w:t>The Board has determined that a majority of the Company’s current directors are independent, as defined in Section 303A of the New York Stock Exchange (“NYSE”) Listed Company Manual. Those directors determined to be independent are Messrs. Carlson, Gelston, Hicks and Tanner and Mmes. Choksi, Dillon and Shank. For a director to be independent, the Board must determine that the director has no relationship with the Company (other than being a director or shareholder of the Company or its subsidiaries) or has only immaterial relationships with the Company. The Company does not apply categorical standards as a basis for determining director independence. Accordingly, the Board considers all relevant facts and circumstances, on a case-by-case basis, in making an independence determination.</w:t>
      </w:r>
    </w:p>
    <w:p>
      <w:pPr>
        <w:spacing w:after="0" w:line="162" w:lineRule="exact"/>
        <w:rPr>
          <w:sz w:val="20"/>
          <w:szCs w:val="20"/>
          <w:color w:val="auto"/>
        </w:rPr>
      </w:pPr>
    </w:p>
    <w:p>
      <w:pPr>
        <w:ind w:right="60" w:firstLine="299"/>
        <w:spacing w:after="0" w:line="238" w:lineRule="auto"/>
        <w:rPr>
          <w:sz w:val="20"/>
          <w:szCs w:val="20"/>
          <w:color w:val="auto"/>
        </w:rPr>
      </w:pPr>
      <w:r>
        <w:rPr>
          <w:rFonts w:ascii="Arial" w:cs="Arial" w:eastAsia="Arial" w:hAnsi="Arial"/>
          <w:sz w:val="18"/>
          <w:szCs w:val="18"/>
          <w:color w:val="auto"/>
        </w:rPr>
        <w:t>The Board notes no current relationships (other than being directors or shareholders) with Messrs. Carlson, Gelston, Hicks and Tanner or Mmes. Choksi, Dillon and Shank. In making its independence determinations, the Board would consider any such relationship in light of NYSE standards as well as the attributes it believes should be possessed by independent-minded directors. Those attributes include the relative impact of the transactions to the director’s personal finances, the perceived degree of dependence by the director or the Company upon the relationship or transactions continuing in the future and whether the transactions were on terms that were reasonable and competitive.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Meetings and Committees; Annual Meeting Attendance</w:t>
      </w:r>
    </w:p>
    <w:p>
      <w:pPr>
        <w:spacing w:after="0" w:line="189" w:lineRule="exact"/>
        <w:rPr>
          <w:sz w:val="20"/>
          <w:szCs w:val="20"/>
          <w:color w:val="auto"/>
        </w:rPr>
      </w:pPr>
    </w:p>
    <w:p>
      <w:pPr>
        <w:ind w:firstLine="299"/>
        <w:spacing w:after="0"/>
        <w:rPr>
          <w:sz w:val="20"/>
          <w:szCs w:val="20"/>
          <w:color w:val="auto"/>
        </w:rPr>
      </w:pPr>
      <w:r>
        <w:rPr>
          <w:rFonts w:ascii="Arial" w:cs="Arial" w:eastAsia="Arial" w:hAnsi="Arial"/>
          <w:sz w:val="18"/>
          <w:szCs w:val="18"/>
          <w:color w:val="auto"/>
        </w:rPr>
        <w:t>During 2025, the following meetings of the Board were held: four meetings of the full Board, eight meetings of the Audit Committee, five meetings of the Compensation/Nominating &amp; Governance Committee, four meetings of the Finance Committee, and two meetings of specially formed subcommittees of the Board relating to transactions. During 2025, each director attended more than 75% of the aggregate of: (1) the total number of meetings of the Board (held during the period for which he or she has been a director); and (2) the total number of meetings held by all committees of the Board on which he or she served.</w:t>
      </w:r>
    </w:p>
    <w:p>
      <w:pPr>
        <w:spacing w:after="0" w:line="160" w:lineRule="exact"/>
        <w:rPr>
          <w:sz w:val="20"/>
          <w:szCs w:val="20"/>
          <w:color w:val="auto"/>
        </w:rPr>
      </w:pPr>
    </w:p>
    <w:p>
      <w:pPr>
        <w:jc w:val="both"/>
        <w:ind w:right="300" w:firstLine="299"/>
        <w:spacing w:after="0" w:line="244" w:lineRule="auto"/>
        <w:rPr>
          <w:sz w:val="20"/>
          <w:szCs w:val="20"/>
          <w:color w:val="auto"/>
        </w:rPr>
      </w:pPr>
      <w:r>
        <w:rPr>
          <w:rFonts w:ascii="Arial" w:cs="Arial" w:eastAsia="Arial" w:hAnsi="Arial"/>
          <w:sz w:val="18"/>
          <w:szCs w:val="18"/>
          <w:color w:val="auto"/>
        </w:rPr>
        <w:t>It is White Mountains’s practice that all directors are invited to, receive materials for and generally attend all Committee meetings. In addition, each Committee Chair provides regular updates to the full Board regarding Committee activities. Directors are encouraged to attend the Annual General Meeting. All of the Company’s directors were in attendance at the 2025 Annual General Meeting, which was held on May 22, 2025.</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00"/>
          </w:cols>
          <w:pgMar w:left="320" w:top="815"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Board and Committee Evaluations</w:t>
      </w:r>
    </w:p>
    <w:p>
      <w:pPr>
        <w:spacing w:after="0" w:line="189" w:lineRule="exact"/>
        <w:rPr>
          <w:sz w:val="20"/>
          <w:szCs w:val="20"/>
          <w:color w:val="auto"/>
        </w:rPr>
      </w:pPr>
    </w:p>
    <w:p>
      <w:pPr>
        <w:ind w:right="40" w:firstLine="299"/>
        <w:spacing w:after="0" w:line="238" w:lineRule="auto"/>
        <w:rPr>
          <w:sz w:val="20"/>
          <w:szCs w:val="20"/>
          <w:color w:val="auto"/>
        </w:rPr>
      </w:pPr>
      <w:r>
        <w:rPr>
          <w:rFonts w:ascii="Arial" w:cs="Arial" w:eastAsia="Arial" w:hAnsi="Arial"/>
          <w:sz w:val="18"/>
          <w:szCs w:val="18"/>
          <w:color w:val="auto"/>
        </w:rPr>
        <w:t>We believe that a robust Board and committee evaluation process is an essential component of good governance and board effectiveness. Our Board and committees conduct annual self-evaluations covering a wide array of topics that include, among other things: governance processes; whether the Board and the committees are maintaining the proper level of oversight; Board and committee composition and function; meeting content, structure and preparation; and management’s interaction with the Board and committees. The self-evaluation process is overseen by our Compensation/Nominating &amp; Governance Committee to ensure a rigorous assessment of Board and committee effectiveness, priorities and composition.</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of the Board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20" w:type="dxa"/>
            <w:vAlign w:val="bottom"/>
            <w:tcBorders>
              <w:top w:val="single" w:sz="8" w:color="auto"/>
            </w:tcBorders>
          </w:tcPr>
          <w:p>
            <w:pPr>
              <w:ind w:left="80"/>
              <w:spacing w:after="0" w:line="187" w:lineRule="exact"/>
              <w:rPr>
                <w:sz w:val="20"/>
                <w:szCs w:val="20"/>
                <w:color w:val="auto"/>
              </w:rPr>
            </w:pPr>
            <w:r>
              <w:rPr>
                <w:rFonts w:ascii="Arial" w:cs="Arial" w:eastAsia="Arial" w:hAnsi="Arial"/>
                <w:sz w:val="18"/>
                <w:szCs w:val="18"/>
                <w:b w:val="1"/>
                <w:bCs w:val="1"/>
                <w:color w:val="auto"/>
              </w:rPr>
              <w:t>Compensation/Nominating &amp; Governance</w:t>
            </w:r>
          </w:p>
        </w:tc>
        <w:tc>
          <w:tcPr>
            <w:tcW w:w="7320" w:type="dxa"/>
            <w:vAlign w:val="bottom"/>
            <w:tcBorders>
              <w:top w:val="single" w:sz="8" w:color="auto"/>
            </w:tcBorders>
            <w:gridSpan w:val="5"/>
          </w:tcPr>
          <w:p>
            <w:pPr>
              <w:spacing w:after="0" w:line="187" w:lineRule="exact"/>
              <w:rPr>
                <w:sz w:val="20"/>
                <w:szCs w:val="20"/>
                <w:color w:val="auto"/>
              </w:rPr>
            </w:pPr>
            <w:r>
              <w:rPr>
                <w:rFonts w:ascii="Arial" w:cs="Arial" w:eastAsia="Arial" w:hAnsi="Arial"/>
                <w:sz w:val="18"/>
                <w:szCs w:val="18"/>
                <w:color w:val="auto"/>
              </w:rPr>
              <w:t>Primary Responsibilities</w:t>
            </w:r>
          </w:p>
        </w:tc>
      </w:tr>
      <w:tr>
        <w:trPr>
          <w:trHeight w:val="183"/>
        </w:trPr>
        <w:tc>
          <w:tcPr>
            <w:tcW w:w="3920" w:type="dxa"/>
            <w:vAlign w:val="bottom"/>
          </w:tcPr>
          <w:p>
            <w:pPr>
              <w:ind w:left="80"/>
              <w:spacing w:after="0" w:line="182" w:lineRule="exact"/>
              <w:rPr>
                <w:sz w:val="20"/>
                <w:szCs w:val="20"/>
                <w:color w:val="auto"/>
              </w:rPr>
            </w:pPr>
            <w:r>
              <w:rPr>
                <w:rFonts w:ascii="Arial" w:cs="Arial" w:eastAsia="Arial" w:hAnsi="Arial"/>
                <w:sz w:val="18"/>
                <w:szCs w:val="18"/>
                <w:b w:val="1"/>
                <w:bCs w:val="1"/>
                <w:color w:val="auto"/>
              </w:rPr>
              <w:t>Committee</w:t>
            </w:r>
          </w:p>
        </w:tc>
        <w:tc>
          <w:tcPr>
            <w:tcW w:w="1940" w:type="dxa"/>
            <w:vAlign w:val="bottom"/>
            <w:tcBorders>
              <w:top w:val="single" w:sz="8" w:color="auto"/>
            </w:tcBorders>
            <w:gridSpan w:val="3"/>
          </w:tcPr>
          <w:p>
            <w:pPr>
              <w:ind w:left="300"/>
              <w:spacing w:after="0" w:line="182" w:lineRule="exact"/>
              <w:rPr>
                <w:sz w:val="20"/>
                <w:szCs w:val="20"/>
                <w:color w:val="auto"/>
              </w:rPr>
            </w:pPr>
            <w:r>
              <w:rPr>
                <w:rFonts w:ascii="Arial" w:cs="Arial" w:eastAsia="Arial" w:hAnsi="Arial"/>
                <w:sz w:val="18"/>
                <w:szCs w:val="18"/>
                <w:color w:val="auto"/>
                <w:w w:val="91"/>
              </w:rPr>
              <w:t>●      Review and make</w:t>
            </w:r>
          </w:p>
        </w:tc>
        <w:tc>
          <w:tcPr>
            <w:tcW w:w="538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recommendations on director compensation</w:t>
            </w:r>
          </w:p>
        </w:tc>
      </w:tr>
      <w:tr>
        <w:trPr>
          <w:trHeight w:val="199"/>
        </w:trPr>
        <w:tc>
          <w:tcPr>
            <w:tcW w:w="3920" w:type="dxa"/>
            <w:vAlign w:val="bottom"/>
          </w:tcPr>
          <w:p>
            <w:pPr>
              <w:spacing w:after="0"/>
              <w:rPr>
                <w:sz w:val="17"/>
                <w:szCs w:val="17"/>
                <w:color w:val="auto"/>
              </w:rPr>
            </w:pPr>
          </w:p>
        </w:tc>
        <w:tc>
          <w:tcPr>
            <w:tcW w:w="7320" w:type="dxa"/>
            <w:vAlign w:val="bottom"/>
            <w:gridSpan w:val="5"/>
          </w:tcPr>
          <w:p>
            <w:pPr>
              <w:ind w:left="30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 xml:space="preserve"> Discharge the Board’s responsibilities relating to the compensation of executives</w:t>
            </w:r>
          </w:p>
        </w:tc>
      </w:tr>
      <w:tr>
        <w:trPr>
          <w:trHeight w:val="199"/>
        </w:trPr>
        <w:tc>
          <w:tcPr>
            <w:tcW w:w="3920" w:type="dxa"/>
            <w:vAlign w:val="bottom"/>
          </w:tcPr>
          <w:p>
            <w:pPr>
              <w:ind w:left="80"/>
              <w:spacing w:after="0" w:line="199" w:lineRule="exact"/>
              <w:rPr>
                <w:sz w:val="20"/>
                <w:szCs w:val="20"/>
                <w:color w:val="auto"/>
              </w:rPr>
            </w:pPr>
            <w:r>
              <w:rPr>
                <w:rFonts w:ascii="Arial" w:cs="Arial" w:eastAsia="Arial" w:hAnsi="Arial"/>
                <w:sz w:val="18"/>
                <w:szCs w:val="18"/>
                <w:color w:val="auto"/>
              </w:rPr>
              <w:t>Met five times during fiscal year 2025</w:t>
            </w:r>
          </w:p>
        </w:tc>
        <w:tc>
          <w:tcPr>
            <w:tcW w:w="7320" w:type="dxa"/>
            <w:vAlign w:val="bottom"/>
            <w:gridSpan w:val="5"/>
          </w:tcPr>
          <w:p>
            <w:pPr>
              <w:ind w:left="30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 xml:space="preserve"> Oversee the administration of the Company’s (and, to the extent the Committee</w:t>
            </w:r>
          </w:p>
        </w:tc>
      </w:tr>
      <w:tr>
        <w:trPr>
          <w:trHeight w:val="199"/>
        </w:trPr>
        <w:tc>
          <w:tcPr>
            <w:tcW w:w="3920" w:type="dxa"/>
            <w:vAlign w:val="bottom"/>
          </w:tcPr>
          <w:p>
            <w:pPr>
              <w:spacing w:after="0"/>
              <w:rPr>
                <w:sz w:val="17"/>
                <w:szCs w:val="17"/>
                <w:color w:val="auto"/>
              </w:rPr>
            </w:pPr>
          </w:p>
        </w:tc>
        <w:tc>
          <w:tcPr>
            <w:tcW w:w="7320" w:type="dxa"/>
            <w:vAlign w:val="bottom"/>
            <w:gridSpan w:val="5"/>
          </w:tcPr>
          <w:p>
            <w:pPr>
              <w:ind w:left="600"/>
              <w:spacing w:after="0" w:line="199" w:lineRule="exact"/>
              <w:rPr>
                <w:sz w:val="20"/>
                <w:szCs w:val="20"/>
                <w:color w:val="auto"/>
              </w:rPr>
            </w:pPr>
            <w:r>
              <w:rPr>
                <w:rFonts w:ascii="Arial" w:cs="Arial" w:eastAsia="Arial" w:hAnsi="Arial"/>
                <w:sz w:val="18"/>
                <w:szCs w:val="18"/>
                <w:color w:val="auto"/>
              </w:rPr>
              <w:t>deems appropriate, the major subsidiaries of the Company) compensation plans,</w:t>
            </w:r>
          </w:p>
        </w:tc>
      </w:tr>
      <w:tr>
        <w:trPr>
          <w:trHeight w:val="199"/>
        </w:trPr>
        <w:tc>
          <w:tcPr>
            <w:tcW w:w="3920" w:type="dxa"/>
            <w:vAlign w:val="bottom"/>
          </w:tcPr>
          <w:p>
            <w:pPr>
              <w:ind w:left="80"/>
              <w:spacing w:after="0" w:line="199" w:lineRule="exact"/>
              <w:rPr>
                <w:sz w:val="20"/>
                <w:szCs w:val="20"/>
                <w:color w:val="auto"/>
              </w:rPr>
            </w:pPr>
            <w:r>
              <w:rPr>
                <w:rFonts w:ascii="Arial" w:cs="Arial" w:eastAsia="Arial" w:hAnsi="Arial"/>
                <w:sz w:val="18"/>
                <w:szCs w:val="18"/>
                <w:color w:val="auto"/>
              </w:rPr>
              <w:t>Current Committee Members:</w:t>
            </w:r>
          </w:p>
        </w:tc>
        <w:tc>
          <w:tcPr>
            <w:tcW w:w="7320" w:type="dxa"/>
            <w:vAlign w:val="bottom"/>
            <w:gridSpan w:val="5"/>
          </w:tcPr>
          <w:p>
            <w:pPr>
              <w:ind w:left="600"/>
              <w:spacing w:after="0" w:line="199" w:lineRule="exact"/>
              <w:rPr>
                <w:sz w:val="20"/>
                <w:szCs w:val="20"/>
                <w:color w:val="auto"/>
              </w:rPr>
            </w:pPr>
            <w:r>
              <w:rPr>
                <w:rFonts w:ascii="Arial" w:cs="Arial" w:eastAsia="Arial" w:hAnsi="Arial"/>
                <w:sz w:val="18"/>
                <w:szCs w:val="18"/>
                <w:color w:val="auto"/>
              </w:rPr>
              <w:t>in particular the incentive compensation and equity-based plans</w:t>
            </w:r>
          </w:p>
        </w:tc>
      </w:tr>
      <w:tr>
        <w:trPr>
          <w:trHeight w:val="199"/>
        </w:trPr>
        <w:tc>
          <w:tcPr>
            <w:tcW w:w="3920" w:type="dxa"/>
            <w:vAlign w:val="bottom"/>
          </w:tcPr>
          <w:p>
            <w:pPr>
              <w:ind w:left="38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 xml:space="preserve"> Philip Gelston (Chair)</w:t>
            </w:r>
          </w:p>
        </w:tc>
        <w:tc>
          <w:tcPr>
            <w:tcW w:w="7320" w:type="dxa"/>
            <w:vAlign w:val="bottom"/>
            <w:gridSpan w:val="5"/>
          </w:tcPr>
          <w:p>
            <w:pPr>
              <w:ind w:left="30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 xml:space="preserve"> Oversee the preparation of the annual report on executive compensation required</w:t>
            </w:r>
          </w:p>
        </w:tc>
      </w:tr>
      <w:tr>
        <w:trPr>
          <w:trHeight w:val="199"/>
        </w:trPr>
        <w:tc>
          <w:tcPr>
            <w:tcW w:w="3920" w:type="dxa"/>
            <w:vAlign w:val="bottom"/>
          </w:tcPr>
          <w:p>
            <w:pPr>
              <w:ind w:left="38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 xml:space="preserve"> Margaret Dillon</w:t>
            </w:r>
          </w:p>
        </w:tc>
        <w:tc>
          <w:tcPr>
            <w:tcW w:w="7320" w:type="dxa"/>
            <w:vAlign w:val="bottom"/>
            <w:gridSpan w:val="5"/>
          </w:tcPr>
          <w:p>
            <w:pPr>
              <w:ind w:left="600"/>
              <w:spacing w:after="0" w:line="199" w:lineRule="exact"/>
              <w:rPr>
                <w:sz w:val="20"/>
                <w:szCs w:val="20"/>
                <w:color w:val="auto"/>
              </w:rPr>
            </w:pPr>
            <w:r>
              <w:rPr>
                <w:rFonts w:ascii="Arial" w:cs="Arial" w:eastAsia="Arial" w:hAnsi="Arial"/>
                <w:sz w:val="18"/>
                <w:szCs w:val="18"/>
                <w:color w:val="auto"/>
              </w:rPr>
              <w:t>by the rules and regulations of the Securities and Exchange Commission (the</w:t>
            </w:r>
          </w:p>
        </w:tc>
      </w:tr>
      <w:tr>
        <w:trPr>
          <w:trHeight w:val="199"/>
        </w:trPr>
        <w:tc>
          <w:tcPr>
            <w:tcW w:w="3920" w:type="dxa"/>
            <w:vAlign w:val="bottom"/>
          </w:tcPr>
          <w:p>
            <w:pPr>
              <w:ind w:left="38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 xml:space="preserve"> Suzanne Shank</w:t>
            </w:r>
          </w:p>
        </w:tc>
        <w:tc>
          <w:tcPr>
            <w:tcW w:w="7320" w:type="dxa"/>
            <w:vAlign w:val="bottom"/>
            <w:gridSpan w:val="5"/>
          </w:tcPr>
          <w:p>
            <w:pPr>
              <w:ind w:left="600"/>
              <w:spacing w:after="0" w:line="199" w:lineRule="exact"/>
              <w:rPr>
                <w:sz w:val="20"/>
                <w:szCs w:val="20"/>
                <w:color w:val="auto"/>
              </w:rPr>
            </w:pPr>
            <w:r>
              <w:rPr>
                <w:rFonts w:ascii="Arial" w:cs="Arial" w:eastAsia="Arial" w:hAnsi="Arial"/>
                <w:sz w:val="18"/>
                <w:szCs w:val="18"/>
                <w:color w:val="auto"/>
              </w:rPr>
              <w:t>“Commission”) to be included in the Company’s annual proxy statement or annual</w:t>
            </w:r>
          </w:p>
        </w:tc>
      </w:tr>
      <w:tr>
        <w:trPr>
          <w:trHeight w:val="199"/>
        </w:trPr>
        <w:tc>
          <w:tcPr>
            <w:tcW w:w="3920" w:type="dxa"/>
            <w:vAlign w:val="bottom"/>
          </w:tcPr>
          <w:p>
            <w:pPr>
              <w:spacing w:after="0"/>
              <w:rPr>
                <w:sz w:val="17"/>
                <w:szCs w:val="17"/>
                <w:color w:val="auto"/>
              </w:rPr>
            </w:pPr>
          </w:p>
        </w:tc>
        <w:tc>
          <w:tcPr>
            <w:tcW w:w="7320" w:type="dxa"/>
            <w:vAlign w:val="bottom"/>
            <w:gridSpan w:val="5"/>
          </w:tcPr>
          <w:p>
            <w:pPr>
              <w:ind w:left="600"/>
              <w:spacing w:after="0" w:line="199" w:lineRule="exact"/>
              <w:rPr>
                <w:sz w:val="20"/>
                <w:szCs w:val="20"/>
                <w:color w:val="auto"/>
              </w:rPr>
            </w:pPr>
            <w:r>
              <w:rPr>
                <w:rFonts w:ascii="Arial" w:cs="Arial" w:eastAsia="Arial" w:hAnsi="Arial"/>
                <w:sz w:val="18"/>
                <w:szCs w:val="18"/>
                <w:color w:val="auto"/>
              </w:rPr>
              <w:t>report on Form 10-K, as applicable</w:t>
            </w:r>
          </w:p>
        </w:tc>
      </w:tr>
      <w:tr>
        <w:trPr>
          <w:trHeight w:val="199"/>
        </w:trPr>
        <w:tc>
          <w:tcPr>
            <w:tcW w:w="3920" w:type="dxa"/>
            <w:vAlign w:val="bottom"/>
          </w:tcPr>
          <w:p>
            <w:pPr>
              <w:spacing w:after="0"/>
              <w:rPr>
                <w:sz w:val="17"/>
                <w:szCs w:val="17"/>
                <w:color w:val="auto"/>
              </w:rPr>
            </w:pPr>
          </w:p>
        </w:tc>
        <w:tc>
          <w:tcPr>
            <w:tcW w:w="7320" w:type="dxa"/>
            <w:vAlign w:val="bottom"/>
            <w:gridSpan w:val="5"/>
          </w:tcPr>
          <w:p>
            <w:pPr>
              <w:ind w:left="30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 xml:space="preserve"> Identify individuals qualified to become Board members and recommend such</w:t>
            </w:r>
          </w:p>
        </w:tc>
      </w:tr>
      <w:tr>
        <w:trPr>
          <w:trHeight w:val="199"/>
        </w:trPr>
        <w:tc>
          <w:tcPr>
            <w:tcW w:w="3920" w:type="dxa"/>
            <w:vAlign w:val="bottom"/>
          </w:tcPr>
          <w:p>
            <w:pPr>
              <w:spacing w:after="0"/>
              <w:rPr>
                <w:sz w:val="17"/>
                <w:szCs w:val="17"/>
                <w:color w:val="auto"/>
              </w:rPr>
            </w:pPr>
          </w:p>
        </w:tc>
        <w:tc>
          <w:tcPr>
            <w:tcW w:w="7320" w:type="dxa"/>
            <w:vAlign w:val="bottom"/>
            <w:gridSpan w:val="5"/>
          </w:tcPr>
          <w:p>
            <w:pPr>
              <w:ind w:left="600"/>
              <w:spacing w:after="0" w:line="199" w:lineRule="exact"/>
              <w:rPr>
                <w:sz w:val="20"/>
                <w:szCs w:val="20"/>
                <w:color w:val="auto"/>
              </w:rPr>
            </w:pPr>
            <w:r>
              <w:rPr>
                <w:rFonts w:ascii="Arial" w:cs="Arial" w:eastAsia="Arial" w:hAnsi="Arial"/>
                <w:sz w:val="18"/>
                <w:szCs w:val="18"/>
                <w:color w:val="auto"/>
              </w:rPr>
              <w:t>individuals to the Board for nomination for election to the Board</w:t>
            </w:r>
          </w:p>
        </w:tc>
      </w:tr>
      <w:tr>
        <w:trPr>
          <w:trHeight w:val="199"/>
        </w:trPr>
        <w:tc>
          <w:tcPr>
            <w:tcW w:w="3920" w:type="dxa"/>
            <w:vAlign w:val="bottom"/>
          </w:tcPr>
          <w:p>
            <w:pPr>
              <w:spacing w:after="0"/>
              <w:rPr>
                <w:sz w:val="17"/>
                <w:szCs w:val="17"/>
                <w:color w:val="auto"/>
              </w:rPr>
            </w:pPr>
          </w:p>
        </w:tc>
        <w:tc>
          <w:tcPr>
            <w:tcW w:w="7320" w:type="dxa"/>
            <w:vAlign w:val="bottom"/>
            <w:gridSpan w:val="5"/>
          </w:tcPr>
          <w:p>
            <w:pPr>
              <w:ind w:left="30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 xml:space="preserve"> Make recommendations to the Board concerning committee appointments</w:t>
            </w:r>
          </w:p>
        </w:tc>
      </w:tr>
      <w:tr>
        <w:trPr>
          <w:trHeight w:val="199"/>
        </w:trPr>
        <w:tc>
          <w:tcPr>
            <w:tcW w:w="3920" w:type="dxa"/>
            <w:vAlign w:val="bottom"/>
          </w:tcPr>
          <w:p>
            <w:pPr>
              <w:spacing w:after="0"/>
              <w:rPr>
                <w:sz w:val="17"/>
                <w:szCs w:val="17"/>
                <w:color w:val="auto"/>
              </w:rPr>
            </w:pPr>
          </w:p>
        </w:tc>
        <w:tc>
          <w:tcPr>
            <w:tcW w:w="7320" w:type="dxa"/>
            <w:vAlign w:val="bottom"/>
            <w:gridSpan w:val="5"/>
          </w:tcPr>
          <w:p>
            <w:pPr>
              <w:ind w:left="30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 xml:space="preserve"> Develop, recommend and annually review corporate governance guidelines</w:t>
            </w:r>
          </w:p>
        </w:tc>
      </w:tr>
      <w:tr>
        <w:trPr>
          <w:trHeight w:val="199"/>
        </w:trPr>
        <w:tc>
          <w:tcPr>
            <w:tcW w:w="3920" w:type="dxa"/>
            <w:vAlign w:val="bottom"/>
          </w:tcPr>
          <w:p>
            <w:pPr>
              <w:spacing w:after="0"/>
              <w:rPr>
                <w:sz w:val="17"/>
                <w:szCs w:val="17"/>
                <w:color w:val="auto"/>
              </w:rPr>
            </w:pPr>
          </w:p>
        </w:tc>
        <w:tc>
          <w:tcPr>
            <w:tcW w:w="7320" w:type="dxa"/>
            <w:vAlign w:val="bottom"/>
            <w:gridSpan w:val="5"/>
          </w:tcPr>
          <w:p>
            <w:pPr>
              <w:ind w:left="600"/>
              <w:spacing w:after="0" w:line="199" w:lineRule="exact"/>
              <w:rPr>
                <w:sz w:val="20"/>
                <w:szCs w:val="20"/>
                <w:color w:val="auto"/>
              </w:rPr>
            </w:pPr>
            <w:r>
              <w:rPr>
                <w:rFonts w:ascii="Arial" w:cs="Arial" w:eastAsia="Arial" w:hAnsi="Arial"/>
                <w:sz w:val="18"/>
                <w:szCs w:val="18"/>
                <w:color w:val="auto"/>
              </w:rPr>
              <w:t>applicable to the Company and oversee corporate governance matters</w:t>
            </w:r>
          </w:p>
        </w:tc>
      </w:tr>
      <w:tr>
        <w:trPr>
          <w:trHeight w:val="199"/>
        </w:trPr>
        <w:tc>
          <w:tcPr>
            <w:tcW w:w="3920" w:type="dxa"/>
            <w:vAlign w:val="bottom"/>
          </w:tcPr>
          <w:p>
            <w:pPr>
              <w:spacing w:after="0"/>
              <w:rPr>
                <w:sz w:val="17"/>
                <w:szCs w:val="17"/>
                <w:color w:val="auto"/>
              </w:rPr>
            </w:pPr>
          </w:p>
        </w:tc>
        <w:tc>
          <w:tcPr>
            <w:tcW w:w="7320" w:type="dxa"/>
            <w:vAlign w:val="bottom"/>
            <w:gridSpan w:val="5"/>
          </w:tcPr>
          <w:p>
            <w:pPr>
              <w:ind w:left="30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 xml:space="preserve"> Oversee the Company’s strategy with respect to corporate social responsibility</w:t>
            </w:r>
          </w:p>
        </w:tc>
      </w:tr>
      <w:tr>
        <w:trPr>
          <w:trHeight w:val="199"/>
        </w:trPr>
        <w:tc>
          <w:tcPr>
            <w:tcW w:w="3920" w:type="dxa"/>
            <w:vAlign w:val="bottom"/>
          </w:tcPr>
          <w:p>
            <w:pPr>
              <w:spacing w:after="0"/>
              <w:rPr>
                <w:sz w:val="17"/>
                <w:szCs w:val="17"/>
                <w:color w:val="auto"/>
              </w:rPr>
            </w:pPr>
          </w:p>
        </w:tc>
        <w:tc>
          <w:tcPr>
            <w:tcW w:w="7320" w:type="dxa"/>
            <w:vAlign w:val="bottom"/>
            <w:gridSpan w:val="5"/>
          </w:tcPr>
          <w:p>
            <w:pPr>
              <w:ind w:left="30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 xml:space="preserve"> Review the CEO’s short-term and long-term succession plans for the CEO and</w:t>
            </w:r>
          </w:p>
        </w:tc>
      </w:tr>
      <w:tr>
        <w:trPr>
          <w:trHeight w:val="199"/>
        </w:trPr>
        <w:tc>
          <w:tcPr>
            <w:tcW w:w="3920" w:type="dxa"/>
            <w:vAlign w:val="bottom"/>
          </w:tcPr>
          <w:p>
            <w:pPr>
              <w:spacing w:after="0"/>
              <w:rPr>
                <w:sz w:val="17"/>
                <w:szCs w:val="17"/>
                <w:color w:val="auto"/>
              </w:rPr>
            </w:pPr>
          </w:p>
        </w:tc>
        <w:tc>
          <w:tcPr>
            <w:tcW w:w="7320" w:type="dxa"/>
            <w:vAlign w:val="bottom"/>
            <w:gridSpan w:val="5"/>
          </w:tcPr>
          <w:p>
            <w:pPr>
              <w:ind w:left="600"/>
              <w:spacing w:after="0" w:line="199" w:lineRule="exact"/>
              <w:rPr>
                <w:sz w:val="20"/>
                <w:szCs w:val="20"/>
                <w:color w:val="auto"/>
              </w:rPr>
            </w:pPr>
            <w:r>
              <w:rPr>
                <w:rFonts w:ascii="Arial" w:cs="Arial" w:eastAsia="Arial" w:hAnsi="Arial"/>
                <w:sz w:val="18"/>
                <w:szCs w:val="18"/>
                <w:color w:val="auto"/>
              </w:rPr>
              <w:t>other senior management positions and report to the Board on succession</w:t>
            </w:r>
          </w:p>
        </w:tc>
      </w:tr>
      <w:tr>
        <w:trPr>
          <w:trHeight w:val="199"/>
        </w:trPr>
        <w:tc>
          <w:tcPr>
            <w:tcW w:w="3920" w:type="dxa"/>
            <w:vAlign w:val="bottom"/>
          </w:tcPr>
          <w:p>
            <w:pPr>
              <w:spacing w:after="0"/>
              <w:rPr>
                <w:sz w:val="17"/>
                <w:szCs w:val="17"/>
                <w:color w:val="auto"/>
              </w:rPr>
            </w:pPr>
          </w:p>
        </w:tc>
        <w:tc>
          <w:tcPr>
            <w:tcW w:w="7320" w:type="dxa"/>
            <w:vAlign w:val="bottom"/>
            <w:gridSpan w:val="5"/>
          </w:tcPr>
          <w:p>
            <w:pPr>
              <w:ind w:left="600"/>
              <w:spacing w:after="0" w:line="199" w:lineRule="exact"/>
              <w:rPr>
                <w:sz w:val="20"/>
                <w:szCs w:val="20"/>
                <w:color w:val="auto"/>
              </w:rPr>
            </w:pPr>
            <w:r>
              <w:rPr>
                <w:rFonts w:ascii="Arial" w:cs="Arial" w:eastAsia="Arial" w:hAnsi="Arial"/>
                <w:sz w:val="18"/>
                <w:szCs w:val="18"/>
                <w:color w:val="auto"/>
              </w:rPr>
              <w:t>planning</w:t>
            </w:r>
          </w:p>
        </w:tc>
      </w:tr>
      <w:tr>
        <w:trPr>
          <w:trHeight w:val="241"/>
        </w:trPr>
        <w:tc>
          <w:tcPr>
            <w:tcW w:w="3920" w:type="dxa"/>
            <w:vAlign w:val="bottom"/>
          </w:tcPr>
          <w:p>
            <w:pPr>
              <w:spacing w:after="0"/>
              <w:rPr>
                <w:sz w:val="20"/>
                <w:szCs w:val="20"/>
                <w:color w:val="auto"/>
              </w:rPr>
            </w:pPr>
          </w:p>
        </w:tc>
        <w:tc>
          <w:tcPr>
            <w:tcW w:w="7320" w:type="dxa"/>
            <w:vAlign w:val="bottom"/>
            <w:gridSpan w:val="5"/>
          </w:tcPr>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 xml:space="preserve"> Oversee the evaluation of the Board and management</w:t>
            </w:r>
          </w:p>
        </w:tc>
      </w:tr>
      <w:tr>
        <w:trPr>
          <w:trHeight w:val="356"/>
        </w:trPr>
        <w:tc>
          <w:tcPr>
            <w:tcW w:w="3920" w:type="dxa"/>
            <w:vAlign w:val="bottom"/>
          </w:tcPr>
          <w:p>
            <w:pPr>
              <w:spacing w:after="0"/>
              <w:rPr>
                <w:sz w:val="24"/>
                <w:szCs w:val="24"/>
                <w:color w:val="auto"/>
              </w:rPr>
            </w:pPr>
          </w:p>
        </w:tc>
        <w:tc>
          <w:tcPr>
            <w:tcW w:w="7320" w:type="dxa"/>
            <w:vAlign w:val="bottom"/>
            <w:gridSpan w:val="5"/>
          </w:tcPr>
          <w:p>
            <w:pPr>
              <w:spacing w:after="0"/>
              <w:rPr>
                <w:sz w:val="20"/>
                <w:szCs w:val="20"/>
                <w:color w:val="auto"/>
              </w:rPr>
            </w:pPr>
            <w:r>
              <w:rPr>
                <w:rFonts w:ascii="Arial" w:cs="Arial" w:eastAsia="Arial" w:hAnsi="Arial"/>
                <w:sz w:val="18"/>
                <w:szCs w:val="18"/>
                <w:color w:val="auto"/>
              </w:rPr>
              <w:t>The Compensation/Nominating &amp; Governance Committee Charter, which outlines the</w:t>
            </w:r>
          </w:p>
        </w:tc>
      </w:tr>
      <w:tr>
        <w:trPr>
          <w:trHeight w:val="199"/>
        </w:trPr>
        <w:tc>
          <w:tcPr>
            <w:tcW w:w="3920" w:type="dxa"/>
            <w:vAlign w:val="bottom"/>
          </w:tcPr>
          <w:p>
            <w:pPr>
              <w:spacing w:after="0"/>
              <w:rPr>
                <w:sz w:val="17"/>
                <w:szCs w:val="17"/>
                <w:color w:val="auto"/>
              </w:rPr>
            </w:pPr>
          </w:p>
        </w:tc>
        <w:tc>
          <w:tcPr>
            <w:tcW w:w="7320" w:type="dxa"/>
            <w:vAlign w:val="bottom"/>
            <w:gridSpan w:val="5"/>
          </w:tcPr>
          <w:p>
            <w:pPr>
              <w:spacing w:after="0" w:line="199" w:lineRule="exact"/>
              <w:rPr>
                <w:sz w:val="20"/>
                <w:szCs w:val="20"/>
                <w:color w:val="auto"/>
              </w:rPr>
            </w:pPr>
            <w:r>
              <w:rPr>
                <w:rFonts w:ascii="Arial" w:cs="Arial" w:eastAsia="Arial" w:hAnsi="Arial"/>
                <w:sz w:val="18"/>
                <w:szCs w:val="18"/>
                <w:color w:val="auto"/>
              </w:rPr>
              <w:t>duties and responsibilities of the Compensation/Nominating &amp; Governance Committee, is</w:t>
            </w:r>
          </w:p>
        </w:tc>
      </w:tr>
      <w:tr>
        <w:trPr>
          <w:trHeight w:val="196"/>
        </w:trPr>
        <w:tc>
          <w:tcPr>
            <w:tcW w:w="3920" w:type="dxa"/>
            <w:vAlign w:val="bottom"/>
          </w:tcPr>
          <w:p>
            <w:pPr>
              <w:spacing w:after="0"/>
              <w:rPr>
                <w:sz w:val="17"/>
                <w:szCs w:val="17"/>
                <w:color w:val="auto"/>
              </w:rPr>
            </w:pPr>
          </w:p>
        </w:tc>
        <w:tc>
          <w:tcPr>
            <w:tcW w:w="7320" w:type="dxa"/>
            <w:vAlign w:val="bottom"/>
            <w:gridSpan w:val="5"/>
          </w:tcPr>
          <w:p>
            <w:pPr>
              <w:spacing w:after="0" w:line="195" w:lineRule="exact"/>
              <w:rPr>
                <w:sz w:val="20"/>
                <w:szCs w:val="20"/>
                <w:color w:val="auto"/>
              </w:rPr>
            </w:pPr>
            <w:r>
              <w:rPr>
                <w:rFonts w:ascii="Arial" w:cs="Arial" w:eastAsia="Arial" w:hAnsi="Arial"/>
                <w:sz w:val="18"/>
                <w:szCs w:val="18"/>
                <w:color w:val="auto"/>
              </w:rPr>
              <w:t xml:space="preserve">available at </w:t>
            </w:r>
            <w:r>
              <w:rPr>
                <w:rFonts w:ascii="Arial" w:cs="Arial" w:eastAsia="Arial" w:hAnsi="Arial"/>
                <w:sz w:val="18"/>
                <w:szCs w:val="18"/>
                <w:i w:val="1"/>
                <w:iCs w:val="1"/>
                <w:color w:val="0000FF"/>
              </w:rPr>
              <w:t>www.whitemountains.com</w:t>
            </w:r>
            <w:r>
              <w:rPr>
                <w:rFonts w:ascii="Arial" w:cs="Arial" w:eastAsia="Arial" w:hAnsi="Arial"/>
                <w:sz w:val="18"/>
                <w:szCs w:val="18"/>
                <w:color w:val="auto"/>
              </w:rPr>
              <w:t>. The Compensation/Nominating &amp; Governance</w:t>
            </w:r>
          </w:p>
        </w:tc>
      </w:tr>
      <w:tr>
        <w:trPr>
          <w:trHeight w:val="234"/>
        </w:trPr>
        <w:tc>
          <w:tcPr>
            <w:tcW w:w="392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Committee</w:t>
            </w:r>
          </w:p>
        </w:tc>
        <w:tc>
          <w:tcPr>
            <w:tcW w:w="210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w w:val="95"/>
              </w:rPr>
              <w:t>Charter is available in print,</w:t>
            </w:r>
          </w:p>
        </w:tc>
        <w:tc>
          <w:tcPr>
            <w:tcW w:w="4240" w:type="dxa"/>
            <w:vAlign w:val="bottom"/>
          </w:tcPr>
          <w:p>
            <w:pPr>
              <w:ind w:left="120"/>
              <w:spacing w:after="0"/>
              <w:rPr>
                <w:sz w:val="20"/>
                <w:szCs w:val="20"/>
                <w:color w:val="auto"/>
              </w:rPr>
            </w:pPr>
            <w:r>
              <w:rPr>
                <w:rFonts w:ascii="Arial" w:cs="Arial" w:eastAsia="Arial" w:hAnsi="Arial"/>
                <w:sz w:val="18"/>
                <w:szCs w:val="18"/>
                <w:color w:val="auto"/>
              </w:rPr>
              <w:t>free of charge, to any shareholder upon request.</w:t>
            </w:r>
          </w:p>
        </w:tc>
      </w:tr>
      <w:tr>
        <w:trPr>
          <w:trHeight w:val="344"/>
        </w:trPr>
        <w:tc>
          <w:tcPr>
            <w:tcW w:w="3920" w:type="dxa"/>
            <w:vAlign w:val="bottom"/>
          </w:tcPr>
          <w:p>
            <w:pPr>
              <w:spacing w:after="0"/>
              <w:rPr>
                <w:sz w:val="24"/>
                <w:szCs w:val="24"/>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Independence</w:t>
            </w:r>
          </w:p>
        </w:tc>
        <w:tc>
          <w:tcPr>
            <w:tcW w:w="6160" w:type="dxa"/>
            <w:vAlign w:val="bottom"/>
            <w:gridSpan w:val="3"/>
          </w:tcPr>
          <w:p>
            <w:pPr>
              <w:spacing w:after="0"/>
              <w:rPr>
                <w:sz w:val="24"/>
                <w:szCs w:val="24"/>
                <w:color w:val="auto"/>
              </w:rPr>
            </w:pPr>
          </w:p>
        </w:tc>
      </w:tr>
      <w:tr>
        <w:trPr>
          <w:trHeight w:val="382"/>
        </w:trPr>
        <w:tc>
          <w:tcPr>
            <w:tcW w:w="3920" w:type="dxa"/>
            <w:vAlign w:val="bottom"/>
          </w:tcPr>
          <w:p>
            <w:pPr>
              <w:spacing w:after="0"/>
              <w:rPr>
                <w:sz w:val="24"/>
                <w:szCs w:val="24"/>
                <w:color w:val="auto"/>
              </w:rPr>
            </w:pPr>
          </w:p>
        </w:tc>
        <w:tc>
          <w:tcPr>
            <w:tcW w:w="7320" w:type="dxa"/>
            <w:vAlign w:val="bottom"/>
            <w:gridSpan w:val="5"/>
          </w:tcPr>
          <w:p>
            <w:pPr>
              <w:spacing w:after="0"/>
              <w:rPr>
                <w:sz w:val="20"/>
                <w:szCs w:val="20"/>
                <w:color w:val="auto"/>
              </w:rPr>
            </w:pPr>
            <w:r>
              <w:rPr>
                <w:rFonts w:ascii="Arial" w:cs="Arial" w:eastAsia="Arial" w:hAnsi="Arial"/>
                <w:sz w:val="18"/>
                <w:szCs w:val="18"/>
                <w:color w:val="auto"/>
              </w:rPr>
              <w:t>The Board has determined that each current member of the Compensation/Nominating &amp;</w:t>
            </w:r>
          </w:p>
        </w:tc>
      </w:tr>
      <w:tr>
        <w:trPr>
          <w:trHeight w:val="241"/>
        </w:trPr>
        <w:tc>
          <w:tcPr>
            <w:tcW w:w="3920" w:type="dxa"/>
            <w:vAlign w:val="bottom"/>
          </w:tcPr>
          <w:p>
            <w:pPr>
              <w:spacing w:after="0"/>
              <w:rPr>
                <w:sz w:val="20"/>
                <w:szCs w:val="20"/>
                <w:color w:val="auto"/>
              </w:rPr>
            </w:pPr>
          </w:p>
        </w:tc>
        <w:tc>
          <w:tcPr>
            <w:tcW w:w="7320" w:type="dxa"/>
            <w:vAlign w:val="bottom"/>
            <w:gridSpan w:val="5"/>
          </w:tcPr>
          <w:p>
            <w:pPr>
              <w:spacing w:after="0"/>
              <w:rPr>
                <w:sz w:val="20"/>
                <w:szCs w:val="20"/>
                <w:color w:val="auto"/>
              </w:rPr>
            </w:pPr>
            <w:r>
              <w:rPr>
                <w:rFonts w:ascii="Arial" w:cs="Arial" w:eastAsia="Arial" w:hAnsi="Arial"/>
                <w:sz w:val="18"/>
                <w:szCs w:val="18"/>
                <w:color w:val="auto"/>
              </w:rPr>
              <w:t>Governance Committee satisfies applicable NYSE requirements.</w:t>
            </w:r>
          </w:p>
        </w:tc>
      </w:tr>
      <w:tr>
        <w:trPr>
          <w:trHeight w:val="178"/>
        </w:trPr>
        <w:tc>
          <w:tcPr>
            <w:tcW w:w="39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240" w:type="dxa"/>
            <w:vAlign w:val="bottom"/>
            <w:tcBorders>
              <w:bottom w:val="single" w:sz="8" w:color="auto"/>
            </w:tcBorders>
          </w:tcPr>
          <w:p>
            <w:pPr>
              <w:spacing w:after="0"/>
              <w:rPr>
                <w:sz w:val="15"/>
                <w:szCs w:val="15"/>
                <w:color w:val="auto"/>
              </w:rPr>
            </w:pPr>
          </w:p>
        </w:tc>
      </w:tr>
      <w:tr>
        <w:trPr>
          <w:trHeight w:val="590"/>
        </w:trPr>
        <w:tc>
          <w:tcPr>
            <w:tcW w:w="39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ind w:left="1600"/>
              <w:spacing w:after="0"/>
              <w:rPr>
                <w:sz w:val="20"/>
                <w:szCs w:val="20"/>
                <w:color w:val="auto"/>
              </w:rPr>
            </w:pPr>
            <w:r>
              <w:rPr>
                <w:rFonts w:ascii="Arial" w:cs="Arial" w:eastAsia="Arial" w:hAnsi="Arial"/>
                <w:sz w:val="18"/>
                <w:szCs w:val="18"/>
                <w:color w:val="auto"/>
              </w:rPr>
              <w:t>20</w:t>
            </w:r>
          </w:p>
        </w:tc>
        <w:tc>
          <w:tcPr>
            <w:tcW w:w="11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5" w:right="3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20" w:type="dxa"/>
            <w:vAlign w:val="bottom"/>
            <w:tcBorders>
              <w:top w:val="single" w:sz="8" w:color="auto"/>
            </w:tcBorders>
          </w:tcPr>
          <w:p>
            <w:pPr>
              <w:ind w:left="80"/>
              <w:spacing w:after="0" w:line="187" w:lineRule="exact"/>
              <w:rPr>
                <w:sz w:val="20"/>
                <w:szCs w:val="20"/>
                <w:color w:val="auto"/>
              </w:rPr>
            </w:pPr>
            <w:r>
              <w:rPr>
                <w:rFonts w:ascii="Arial" w:cs="Arial" w:eastAsia="Arial" w:hAnsi="Arial"/>
                <w:sz w:val="18"/>
                <w:szCs w:val="18"/>
                <w:b w:val="1"/>
                <w:bCs w:val="1"/>
                <w:color w:val="auto"/>
              </w:rPr>
              <w:t>Audit Committee</w:t>
            </w:r>
          </w:p>
        </w:tc>
        <w:tc>
          <w:tcPr>
            <w:tcW w:w="7320" w:type="dxa"/>
            <w:vAlign w:val="bottom"/>
            <w:tcBorders>
              <w:top w:val="single" w:sz="8" w:color="auto"/>
            </w:tcBorders>
            <w:gridSpan w:val="6"/>
          </w:tcPr>
          <w:p>
            <w:pPr>
              <w:spacing w:after="0" w:line="187" w:lineRule="exact"/>
              <w:rPr>
                <w:sz w:val="20"/>
                <w:szCs w:val="20"/>
                <w:color w:val="auto"/>
              </w:rPr>
            </w:pPr>
            <w:r>
              <w:rPr>
                <w:rFonts w:ascii="Arial" w:cs="Arial" w:eastAsia="Arial" w:hAnsi="Arial"/>
                <w:sz w:val="18"/>
                <w:szCs w:val="18"/>
                <w:color w:val="auto"/>
              </w:rPr>
              <w:t>Primary Responsibilities</w:t>
            </w:r>
          </w:p>
        </w:tc>
      </w:tr>
      <w:tr>
        <w:trPr>
          <w:trHeight w:val="183"/>
        </w:trPr>
        <w:tc>
          <w:tcPr>
            <w:tcW w:w="3920" w:type="dxa"/>
            <w:vAlign w:val="bottom"/>
          </w:tcPr>
          <w:p>
            <w:pPr>
              <w:spacing w:after="0"/>
              <w:rPr>
                <w:sz w:val="15"/>
                <w:szCs w:val="15"/>
                <w:color w:val="auto"/>
              </w:rPr>
            </w:pPr>
          </w:p>
        </w:tc>
        <w:tc>
          <w:tcPr>
            <w:tcW w:w="1940" w:type="dxa"/>
            <w:vAlign w:val="bottom"/>
            <w:tcBorders>
              <w:top w:val="single" w:sz="8" w:color="auto"/>
            </w:tcBorders>
            <w:gridSpan w:val="2"/>
          </w:tcPr>
          <w:p>
            <w:pPr>
              <w:ind w:left="300"/>
              <w:spacing w:after="0" w:line="182" w:lineRule="exact"/>
              <w:rPr>
                <w:sz w:val="20"/>
                <w:szCs w:val="20"/>
                <w:color w:val="auto"/>
              </w:rPr>
            </w:pPr>
            <w:r>
              <w:rPr>
                <w:rFonts w:ascii="Arial" w:cs="Arial" w:eastAsia="Arial" w:hAnsi="Arial"/>
                <w:sz w:val="18"/>
                <w:szCs w:val="18"/>
                <w:color w:val="auto"/>
                <w:w w:val="95"/>
              </w:rPr>
              <w:t>●</w:t>
            </w:r>
            <w:r>
              <w:rPr>
                <w:rFonts w:ascii="Arial" w:cs="Arial" w:eastAsia="Arial" w:hAnsi="Arial"/>
                <w:sz w:val="11"/>
                <w:szCs w:val="11"/>
                <w:color w:val="auto"/>
                <w:w w:val="95"/>
              </w:rPr>
              <w:t>       </w:t>
            </w:r>
            <w:r>
              <w:rPr>
                <w:rFonts w:ascii="Arial" w:cs="Arial" w:eastAsia="Arial" w:hAnsi="Arial"/>
                <w:sz w:val="18"/>
                <w:szCs w:val="18"/>
                <w:color w:val="auto"/>
                <w:w w:val="95"/>
              </w:rPr>
              <w:t xml:space="preserve"> Assist with Board</w:t>
            </w:r>
          </w:p>
        </w:tc>
        <w:tc>
          <w:tcPr>
            <w:tcW w:w="5380" w:type="dxa"/>
            <w:vAlign w:val="bottom"/>
            <w:gridSpan w:val="4"/>
          </w:tcPr>
          <w:p>
            <w:pPr>
              <w:ind w:left="60"/>
              <w:spacing w:after="0" w:line="182" w:lineRule="exact"/>
              <w:rPr>
                <w:sz w:val="20"/>
                <w:szCs w:val="20"/>
                <w:color w:val="auto"/>
              </w:rPr>
            </w:pPr>
            <w:r>
              <w:rPr>
                <w:rFonts w:ascii="Arial" w:cs="Arial" w:eastAsia="Arial" w:hAnsi="Arial"/>
                <w:sz w:val="18"/>
                <w:szCs w:val="18"/>
                <w:color w:val="auto"/>
              </w:rPr>
              <w:t>oversight of the:</w:t>
            </w:r>
          </w:p>
        </w:tc>
      </w:tr>
      <w:tr>
        <w:trPr>
          <w:trHeight w:val="199"/>
        </w:trPr>
        <w:tc>
          <w:tcPr>
            <w:tcW w:w="3920" w:type="dxa"/>
            <w:vAlign w:val="bottom"/>
          </w:tcPr>
          <w:p>
            <w:pPr>
              <w:ind w:left="80"/>
              <w:spacing w:after="0" w:line="199" w:lineRule="exact"/>
              <w:rPr>
                <w:sz w:val="20"/>
                <w:szCs w:val="20"/>
                <w:color w:val="auto"/>
              </w:rPr>
            </w:pPr>
            <w:r>
              <w:rPr>
                <w:rFonts w:ascii="Arial" w:cs="Arial" w:eastAsia="Arial" w:hAnsi="Arial"/>
                <w:sz w:val="18"/>
                <w:szCs w:val="18"/>
                <w:color w:val="auto"/>
              </w:rPr>
              <w:t>Met eight times during fiscal year 2025</w:t>
            </w:r>
          </w:p>
        </w:tc>
        <w:tc>
          <w:tcPr>
            <w:tcW w:w="540" w:type="dxa"/>
            <w:vAlign w:val="bottom"/>
          </w:tcPr>
          <w:p>
            <w:pPr>
              <w:spacing w:after="0"/>
              <w:rPr>
                <w:sz w:val="17"/>
                <w:szCs w:val="17"/>
                <w:color w:val="auto"/>
              </w:rPr>
            </w:pPr>
          </w:p>
        </w:tc>
        <w:tc>
          <w:tcPr>
            <w:tcW w:w="6780" w:type="dxa"/>
            <w:vAlign w:val="bottom"/>
            <w:gridSpan w:val="5"/>
          </w:tcPr>
          <w:p>
            <w:pPr>
              <w:ind w:left="20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 xml:space="preserve"> Integrity of the Company’s financial statements;</w:t>
            </w:r>
          </w:p>
        </w:tc>
      </w:tr>
      <w:tr>
        <w:trPr>
          <w:trHeight w:val="199"/>
        </w:trPr>
        <w:tc>
          <w:tcPr>
            <w:tcW w:w="3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780" w:type="dxa"/>
            <w:vAlign w:val="bottom"/>
            <w:gridSpan w:val="5"/>
          </w:tcPr>
          <w:p>
            <w:pPr>
              <w:ind w:left="20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 xml:space="preserve"> Qualifications and independence of the independent auditors;</w:t>
            </w:r>
          </w:p>
        </w:tc>
      </w:tr>
      <w:tr>
        <w:trPr>
          <w:trHeight w:val="199"/>
        </w:trPr>
        <w:tc>
          <w:tcPr>
            <w:tcW w:w="3920" w:type="dxa"/>
            <w:vAlign w:val="bottom"/>
          </w:tcPr>
          <w:p>
            <w:pPr>
              <w:ind w:left="80"/>
              <w:spacing w:after="0" w:line="199" w:lineRule="exact"/>
              <w:rPr>
                <w:sz w:val="20"/>
                <w:szCs w:val="20"/>
                <w:color w:val="auto"/>
              </w:rPr>
            </w:pPr>
            <w:r>
              <w:rPr>
                <w:rFonts w:ascii="Arial" w:cs="Arial" w:eastAsia="Arial" w:hAnsi="Arial"/>
                <w:sz w:val="18"/>
                <w:szCs w:val="18"/>
                <w:color w:val="auto"/>
              </w:rPr>
              <w:t>Current Committee Members:</w:t>
            </w:r>
          </w:p>
        </w:tc>
        <w:tc>
          <w:tcPr>
            <w:tcW w:w="540" w:type="dxa"/>
            <w:vAlign w:val="bottom"/>
          </w:tcPr>
          <w:p>
            <w:pPr>
              <w:spacing w:after="0"/>
              <w:rPr>
                <w:sz w:val="17"/>
                <w:szCs w:val="17"/>
                <w:color w:val="auto"/>
              </w:rPr>
            </w:pPr>
          </w:p>
        </w:tc>
        <w:tc>
          <w:tcPr>
            <w:tcW w:w="6780" w:type="dxa"/>
            <w:vAlign w:val="bottom"/>
            <w:gridSpan w:val="5"/>
          </w:tcPr>
          <w:p>
            <w:pPr>
              <w:ind w:left="20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 xml:space="preserve"> Performance of the internal audit function and the independent auditors; and</w:t>
            </w:r>
          </w:p>
        </w:tc>
      </w:tr>
      <w:tr>
        <w:trPr>
          <w:trHeight w:val="199"/>
        </w:trPr>
        <w:tc>
          <w:tcPr>
            <w:tcW w:w="3920" w:type="dxa"/>
            <w:vAlign w:val="bottom"/>
          </w:tcPr>
          <w:p>
            <w:pPr>
              <w:ind w:left="38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 xml:space="preserve"> Peter Carlson (Chair)</w:t>
            </w:r>
          </w:p>
        </w:tc>
        <w:tc>
          <w:tcPr>
            <w:tcW w:w="540" w:type="dxa"/>
            <w:vAlign w:val="bottom"/>
          </w:tcPr>
          <w:p>
            <w:pPr>
              <w:spacing w:after="0"/>
              <w:rPr>
                <w:sz w:val="17"/>
                <w:szCs w:val="17"/>
                <w:color w:val="auto"/>
              </w:rPr>
            </w:pPr>
          </w:p>
        </w:tc>
        <w:tc>
          <w:tcPr>
            <w:tcW w:w="6780" w:type="dxa"/>
            <w:vAlign w:val="bottom"/>
            <w:gridSpan w:val="5"/>
          </w:tcPr>
          <w:p>
            <w:pPr>
              <w:ind w:left="20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Company’s compliance with legal and regulatory requirements</w:t>
            </w:r>
          </w:p>
        </w:tc>
      </w:tr>
      <w:tr>
        <w:trPr>
          <w:trHeight w:val="199"/>
        </w:trPr>
        <w:tc>
          <w:tcPr>
            <w:tcW w:w="3920" w:type="dxa"/>
            <w:vAlign w:val="bottom"/>
          </w:tcPr>
          <w:p>
            <w:pPr>
              <w:ind w:left="38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 xml:space="preserve"> Margaret Dillon</w:t>
            </w:r>
          </w:p>
        </w:tc>
        <w:tc>
          <w:tcPr>
            <w:tcW w:w="7320" w:type="dxa"/>
            <w:vAlign w:val="bottom"/>
            <w:gridSpan w:val="6"/>
          </w:tcPr>
          <w:p>
            <w:pPr>
              <w:ind w:left="30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 xml:space="preserve"> Provide an avenue of communication among the independent auditors,</w:t>
            </w:r>
          </w:p>
        </w:tc>
      </w:tr>
      <w:tr>
        <w:trPr>
          <w:trHeight w:val="199"/>
        </w:trPr>
        <w:tc>
          <w:tcPr>
            <w:tcW w:w="3920" w:type="dxa"/>
            <w:vAlign w:val="bottom"/>
          </w:tcPr>
          <w:p>
            <w:pPr>
              <w:ind w:left="38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 xml:space="preserve"> Philip Gelston</w:t>
            </w:r>
          </w:p>
        </w:tc>
        <w:tc>
          <w:tcPr>
            <w:tcW w:w="540" w:type="dxa"/>
            <w:vAlign w:val="bottom"/>
          </w:tcPr>
          <w:p>
            <w:pPr>
              <w:spacing w:after="0"/>
              <w:rPr>
                <w:sz w:val="17"/>
                <w:szCs w:val="17"/>
                <w:color w:val="auto"/>
              </w:rPr>
            </w:pPr>
          </w:p>
        </w:tc>
        <w:tc>
          <w:tcPr>
            <w:tcW w:w="6780" w:type="dxa"/>
            <w:vAlign w:val="bottom"/>
            <w:gridSpan w:val="5"/>
          </w:tcPr>
          <w:p>
            <w:pPr>
              <w:ind w:left="60"/>
              <w:spacing w:after="0" w:line="199" w:lineRule="exact"/>
              <w:rPr>
                <w:sz w:val="20"/>
                <w:szCs w:val="20"/>
                <w:color w:val="auto"/>
              </w:rPr>
            </w:pPr>
            <w:r>
              <w:rPr>
                <w:rFonts w:ascii="Arial" w:cs="Arial" w:eastAsia="Arial" w:hAnsi="Arial"/>
                <w:sz w:val="18"/>
                <w:szCs w:val="18"/>
                <w:color w:val="auto"/>
              </w:rPr>
              <w:t>management, the internal auditors and the Board</w:t>
            </w:r>
          </w:p>
        </w:tc>
      </w:tr>
      <w:tr>
        <w:trPr>
          <w:trHeight w:val="199"/>
        </w:trPr>
        <w:tc>
          <w:tcPr>
            <w:tcW w:w="3920" w:type="dxa"/>
            <w:vAlign w:val="bottom"/>
          </w:tcPr>
          <w:p>
            <w:pPr>
              <w:ind w:left="38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 xml:space="preserve"> Weston Hicks</w:t>
            </w:r>
          </w:p>
        </w:tc>
        <w:tc>
          <w:tcPr>
            <w:tcW w:w="7320" w:type="dxa"/>
            <w:vAlign w:val="bottom"/>
            <w:gridSpan w:val="6"/>
          </w:tcPr>
          <w:p>
            <w:pPr>
              <w:ind w:left="30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 xml:space="preserve"> Approve certain related or affiliated person transactions and review disclosures</w:t>
            </w:r>
          </w:p>
        </w:tc>
      </w:tr>
      <w:tr>
        <w:trPr>
          <w:trHeight w:val="199"/>
        </w:trPr>
        <w:tc>
          <w:tcPr>
            <w:tcW w:w="3920" w:type="dxa"/>
            <w:vAlign w:val="bottom"/>
          </w:tcPr>
          <w:p>
            <w:pPr>
              <w:ind w:left="38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 xml:space="preserve"> David Tanner</w:t>
            </w:r>
          </w:p>
        </w:tc>
        <w:tc>
          <w:tcPr>
            <w:tcW w:w="540" w:type="dxa"/>
            <w:vAlign w:val="bottom"/>
          </w:tcPr>
          <w:p>
            <w:pPr>
              <w:spacing w:after="0"/>
              <w:rPr>
                <w:sz w:val="17"/>
                <w:szCs w:val="17"/>
                <w:color w:val="auto"/>
              </w:rPr>
            </w:pPr>
          </w:p>
        </w:tc>
        <w:tc>
          <w:tcPr>
            <w:tcW w:w="6780" w:type="dxa"/>
            <w:vAlign w:val="bottom"/>
            <w:gridSpan w:val="5"/>
          </w:tcPr>
          <w:p>
            <w:pPr>
              <w:ind w:left="60"/>
              <w:spacing w:after="0" w:line="199" w:lineRule="exact"/>
              <w:rPr>
                <w:sz w:val="20"/>
                <w:szCs w:val="20"/>
                <w:color w:val="auto"/>
              </w:rPr>
            </w:pPr>
            <w:r>
              <w:rPr>
                <w:rFonts w:ascii="Arial" w:cs="Arial" w:eastAsia="Arial" w:hAnsi="Arial"/>
                <w:sz w:val="18"/>
                <w:szCs w:val="18"/>
                <w:color w:val="auto"/>
              </w:rPr>
              <w:t>thereof</w:t>
            </w:r>
          </w:p>
        </w:tc>
      </w:tr>
      <w:tr>
        <w:trPr>
          <w:trHeight w:val="199"/>
        </w:trPr>
        <w:tc>
          <w:tcPr>
            <w:tcW w:w="3920" w:type="dxa"/>
            <w:vAlign w:val="bottom"/>
          </w:tcPr>
          <w:p>
            <w:pPr>
              <w:spacing w:after="0"/>
              <w:rPr>
                <w:sz w:val="17"/>
                <w:szCs w:val="17"/>
                <w:color w:val="auto"/>
              </w:rPr>
            </w:pPr>
          </w:p>
        </w:tc>
        <w:tc>
          <w:tcPr>
            <w:tcW w:w="7320" w:type="dxa"/>
            <w:vAlign w:val="bottom"/>
            <w:gridSpan w:val="6"/>
          </w:tcPr>
          <w:p>
            <w:pPr>
              <w:ind w:left="30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 xml:space="preserve"> Prepare the Audit Committee Report</w:t>
            </w:r>
          </w:p>
        </w:tc>
      </w:tr>
      <w:tr>
        <w:trPr>
          <w:trHeight w:val="199"/>
        </w:trPr>
        <w:tc>
          <w:tcPr>
            <w:tcW w:w="3920" w:type="dxa"/>
            <w:vAlign w:val="bottom"/>
          </w:tcPr>
          <w:p>
            <w:pPr>
              <w:spacing w:after="0"/>
              <w:rPr>
                <w:sz w:val="17"/>
                <w:szCs w:val="17"/>
                <w:color w:val="auto"/>
              </w:rPr>
            </w:pPr>
          </w:p>
        </w:tc>
        <w:tc>
          <w:tcPr>
            <w:tcW w:w="7320" w:type="dxa"/>
            <w:vAlign w:val="bottom"/>
            <w:gridSpan w:val="6"/>
          </w:tcPr>
          <w:p>
            <w:pPr>
              <w:ind w:left="30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 xml:space="preserve"> Discuss with management the Company’s policies with respect to risk assessment</w:t>
            </w:r>
          </w:p>
        </w:tc>
      </w:tr>
      <w:tr>
        <w:trPr>
          <w:trHeight w:val="199"/>
        </w:trPr>
        <w:tc>
          <w:tcPr>
            <w:tcW w:w="3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780" w:type="dxa"/>
            <w:vAlign w:val="bottom"/>
            <w:gridSpan w:val="5"/>
          </w:tcPr>
          <w:p>
            <w:pPr>
              <w:ind w:left="60"/>
              <w:spacing w:after="0" w:line="199" w:lineRule="exact"/>
              <w:rPr>
                <w:sz w:val="20"/>
                <w:szCs w:val="20"/>
                <w:color w:val="auto"/>
              </w:rPr>
            </w:pPr>
            <w:r>
              <w:rPr>
                <w:rFonts w:ascii="Arial" w:cs="Arial" w:eastAsia="Arial" w:hAnsi="Arial"/>
                <w:sz w:val="18"/>
                <w:szCs w:val="18"/>
                <w:color w:val="auto"/>
              </w:rPr>
              <w:t>and risk management, including the Company’s major financial and reputational</w:t>
            </w:r>
          </w:p>
        </w:tc>
      </w:tr>
      <w:tr>
        <w:trPr>
          <w:trHeight w:val="199"/>
        </w:trPr>
        <w:tc>
          <w:tcPr>
            <w:tcW w:w="3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780" w:type="dxa"/>
            <w:vAlign w:val="bottom"/>
            <w:gridSpan w:val="5"/>
          </w:tcPr>
          <w:p>
            <w:pPr>
              <w:ind w:left="60"/>
              <w:spacing w:after="0" w:line="199" w:lineRule="exact"/>
              <w:rPr>
                <w:sz w:val="20"/>
                <w:szCs w:val="20"/>
                <w:color w:val="auto"/>
              </w:rPr>
            </w:pPr>
            <w:r>
              <w:rPr>
                <w:rFonts w:ascii="Arial" w:cs="Arial" w:eastAsia="Arial" w:hAnsi="Arial"/>
                <w:sz w:val="18"/>
                <w:szCs w:val="18"/>
                <w:color w:val="auto"/>
              </w:rPr>
              <w:t>risk exposures related to environmental, social and governance matters, including</w:t>
            </w:r>
          </w:p>
        </w:tc>
      </w:tr>
      <w:tr>
        <w:trPr>
          <w:trHeight w:val="199"/>
        </w:trPr>
        <w:tc>
          <w:tcPr>
            <w:tcW w:w="3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780" w:type="dxa"/>
            <w:vAlign w:val="bottom"/>
            <w:gridSpan w:val="5"/>
          </w:tcPr>
          <w:p>
            <w:pPr>
              <w:ind w:left="60"/>
              <w:spacing w:after="0" w:line="199" w:lineRule="exact"/>
              <w:rPr>
                <w:sz w:val="20"/>
                <w:szCs w:val="20"/>
                <w:color w:val="auto"/>
              </w:rPr>
            </w:pPr>
            <w:r>
              <w:rPr>
                <w:rFonts w:ascii="Arial" w:cs="Arial" w:eastAsia="Arial" w:hAnsi="Arial"/>
                <w:sz w:val="18"/>
                <w:szCs w:val="18"/>
                <w:color w:val="auto"/>
              </w:rPr>
              <w:t>cybersecurity, climate risk and sustainability, and the steps management has</w:t>
            </w:r>
          </w:p>
        </w:tc>
      </w:tr>
      <w:tr>
        <w:trPr>
          <w:trHeight w:val="199"/>
        </w:trPr>
        <w:tc>
          <w:tcPr>
            <w:tcW w:w="3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780" w:type="dxa"/>
            <w:vAlign w:val="bottom"/>
            <w:gridSpan w:val="5"/>
          </w:tcPr>
          <w:p>
            <w:pPr>
              <w:ind w:left="60"/>
              <w:spacing w:after="0" w:line="199" w:lineRule="exact"/>
              <w:rPr>
                <w:sz w:val="20"/>
                <w:szCs w:val="20"/>
                <w:color w:val="auto"/>
              </w:rPr>
            </w:pPr>
            <w:r>
              <w:rPr>
                <w:rFonts w:ascii="Arial" w:cs="Arial" w:eastAsia="Arial" w:hAnsi="Arial"/>
                <w:sz w:val="18"/>
                <w:szCs w:val="18"/>
                <w:color w:val="auto"/>
              </w:rPr>
              <w:t>taken to monitor and control those exposures</w:t>
            </w:r>
          </w:p>
        </w:tc>
      </w:tr>
      <w:tr>
        <w:trPr>
          <w:trHeight w:val="199"/>
        </w:trPr>
        <w:tc>
          <w:tcPr>
            <w:tcW w:w="3920" w:type="dxa"/>
            <w:vAlign w:val="bottom"/>
          </w:tcPr>
          <w:p>
            <w:pPr>
              <w:spacing w:after="0"/>
              <w:rPr>
                <w:sz w:val="17"/>
                <w:szCs w:val="17"/>
                <w:color w:val="auto"/>
              </w:rPr>
            </w:pPr>
          </w:p>
        </w:tc>
        <w:tc>
          <w:tcPr>
            <w:tcW w:w="7320" w:type="dxa"/>
            <w:vAlign w:val="bottom"/>
            <w:gridSpan w:val="6"/>
          </w:tcPr>
          <w:p>
            <w:pPr>
              <w:ind w:left="30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 xml:space="preserve"> Receive a report, at least annually, on company-wide risks</w:t>
            </w:r>
          </w:p>
        </w:tc>
      </w:tr>
      <w:tr>
        <w:trPr>
          <w:trHeight w:val="199"/>
        </w:trPr>
        <w:tc>
          <w:tcPr>
            <w:tcW w:w="3920" w:type="dxa"/>
            <w:vAlign w:val="bottom"/>
          </w:tcPr>
          <w:p>
            <w:pPr>
              <w:spacing w:after="0"/>
              <w:rPr>
                <w:sz w:val="17"/>
                <w:szCs w:val="17"/>
                <w:color w:val="auto"/>
              </w:rPr>
            </w:pPr>
          </w:p>
        </w:tc>
        <w:tc>
          <w:tcPr>
            <w:tcW w:w="7320" w:type="dxa"/>
            <w:vAlign w:val="bottom"/>
            <w:gridSpan w:val="6"/>
          </w:tcPr>
          <w:p>
            <w:pPr>
              <w:ind w:left="30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 xml:space="preserve"> Meet individually in private session with the Company’s Chief Financial Officer,</w:t>
            </w:r>
          </w:p>
        </w:tc>
      </w:tr>
      <w:tr>
        <w:trPr>
          <w:trHeight w:val="199"/>
        </w:trPr>
        <w:tc>
          <w:tcPr>
            <w:tcW w:w="3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780" w:type="dxa"/>
            <w:vAlign w:val="bottom"/>
            <w:gridSpan w:val="5"/>
          </w:tcPr>
          <w:p>
            <w:pPr>
              <w:ind w:left="60"/>
              <w:spacing w:after="0" w:line="199" w:lineRule="exact"/>
              <w:rPr>
                <w:sz w:val="20"/>
                <w:szCs w:val="20"/>
                <w:color w:val="auto"/>
              </w:rPr>
            </w:pPr>
            <w:r>
              <w:rPr>
                <w:rFonts w:ascii="Arial" w:cs="Arial" w:eastAsia="Arial" w:hAnsi="Arial"/>
                <w:sz w:val="18"/>
                <w:szCs w:val="18"/>
                <w:color w:val="auto"/>
              </w:rPr>
              <w:t>General Counsel, General Auditor, Chief Accounting Officer, and the independent</w:t>
            </w:r>
          </w:p>
        </w:tc>
      </w:tr>
      <w:tr>
        <w:trPr>
          <w:trHeight w:val="241"/>
        </w:trPr>
        <w:tc>
          <w:tcPr>
            <w:tcW w:w="3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780" w:type="dxa"/>
            <w:vAlign w:val="bottom"/>
            <w:gridSpan w:val="5"/>
          </w:tcPr>
          <w:p>
            <w:pPr>
              <w:ind w:left="60"/>
              <w:spacing w:after="0"/>
              <w:rPr>
                <w:sz w:val="20"/>
                <w:szCs w:val="20"/>
                <w:color w:val="auto"/>
              </w:rPr>
            </w:pPr>
            <w:r>
              <w:rPr>
                <w:rFonts w:ascii="Arial" w:cs="Arial" w:eastAsia="Arial" w:hAnsi="Arial"/>
                <w:sz w:val="18"/>
                <w:szCs w:val="18"/>
                <w:color w:val="auto"/>
              </w:rPr>
              <w:t>auditors at its quarterly meetings</w:t>
            </w:r>
          </w:p>
        </w:tc>
      </w:tr>
      <w:tr>
        <w:trPr>
          <w:trHeight w:val="344"/>
        </w:trPr>
        <w:tc>
          <w:tcPr>
            <w:tcW w:w="3920" w:type="dxa"/>
            <w:vAlign w:val="bottom"/>
          </w:tcPr>
          <w:p>
            <w:pPr>
              <w:spacing w:after="0"/>
              <w:rPr>
                <w:sz w:val="24"/>
                <w:szCs w:val="24"/>
                <w:color w:val="auto"/>
              </w:rPr>
            </w:pPr>
          </w:p>
        </w:tc>
        <w:tc>
          <w:tcPr>
            <w:tcW w:w="7320" w:type="dxa"/>
            <w:vAlign w:val="bottom"/>
            <w:gridSpan w:val="6"/>
          </w:tcPr>
          <w:p>
            <w:pPr>
              <w:spacing w:after="0"/>
              <w:rPr>
                <w:sz w:val="20"/>
                <w:szCs w:val="20"/>
                <w:color w:val="auto"/>
              </w:rPr>
            </w:pPr>
            <w:r>
              <w:rPr>
                <w:rFonts w:ascii="Arial" w:cs="Arial" w:eastAsia="Arial" w:hAnsi="Arial"/>
                <w:sz w:val="18"/>
                <w:szCs w:val="18"/>
                <w:color w:val="auto"/>
              </w:rPr>
              <w:t>The Audit Committee Charter, which outlines the duties and responsibilities of the Audit</w:t>
            </w:r>
          </w:p>
        </w:tc>
      </w:tr>
      <w:tr>
        <w:trPr>
          <w:trHeight w:val="196"/>
        </w:trPr>
        <w:tc>
          <w:tcPr>
            <w:tcW w:w="3920" w:type="dxa"/>
            <w:vAlign w:val="bottom"/>
          </w:tcPr>
          <w:p>
            <w:pPr>
              <w:spacing w:after="0"/>
              <w:rPr>
                <w:sz w:val="17"/>
                <w:szCs w:val="17"/>
                <w:color w:val="auto"/>
              </w:rPr>
            </w:pPr>
          </w:p>
        </w:tc>
        <w:tc>
          <w:tcPr>
            <w:tcW w:w="7320" w:type="dxa"/>
            <w:vAlign w:val="bottom"/>
            <w:gridSpan w:val="6"/>
          </w:tcPr>
          <w:p>
            <w:pPr>
              <w:spacing w:after="0" w:line="195" w:lineRule="exact"/>
              <w:rPr>
                <w:sz w:val="20"/>
                <w:szCs w:val="20"/>
                <w:color w:val="auto"/>
              </w:rPr>
            </w:pPr>
            <w:r>
              <w:rPr>
                <w:rFonts w:ascii="Arial" w:cs="Arial" w:eastAsia="Arial" w:hAnsi="Arial"/>
                <w:sz w:val="18"/>
                <w:szCs w:val="18"/>
                <w:color w:val="auto"/>
              </w:rPr>
              <w:t xml:space="preserve">Committee, is available at </w:t>
            </w:r>
            <w:r>
              <w:rPr>
                <w:rFonts w:ascii="Arial" w:cs="Arial" w:eastAsia="Arial" w:hAnsi="Arial"/>
                <w:sz w:val="18"/>
                <w:szCs w:val="18"/>
                <w:i w:val="1"/>
                <w:iCs w:val="1"/>
                <w:color w:val="0000FF"/>
              </w:rPr>
              <w:t>www.whitemountains.com</w:t>
            </w:r>
            <w:r>
              <w:rPr>
                <w:rFonts w:ascii="Arial" w:cs="Arial" w:eastAsia="Arial" w:hAnsi="Arial"/>
                <w:sz w:val="18"/>
                <w:szCs w:val="18"/>
                <w:color w:val="auto"/>
              </w:rPr>
              <w:t>. The Audit Committee Charter is</w:t>
            </w:r>
          </w:p>
        </w:tc>
      </w:tr>
      <w:tr>
        <w:trPr>
          <w:trHeight w:val="234"/>
        </w:trPr>
        <w:tc>
          <w:tcPr>
            <w:tcW w:w="3920" w:type="dxa"/>
            <w:vAlign w:val="bottom"/>
          </w:tcPr>
          <w:p>
            <w:pPr>
              <w:spacing w:after="0"/>
              <w:rPr>
                <w:sz w:val="20"/>
                <w:szCs w:val="20"/>
                <w:color w:val="auto"/>
              </w:rPr>
            </w:pPr>
          </w:p>
        </w:tc>
        <w:tc>
          <w:tcPr>
            <w:tcW w:w="2140" w:type="dxa"/>
            <w:vAlign w:val="bottom"/>
            <w:gridSpan w:val="3"/>
          </w:tcPr>
          <w:p>
            <w:pPr>
              <w:spacing w:after="0"/>
              <w:rPr>
                <w:sz w:val="20"/>
                <w:szCs w:val="20"/>
                <w:color w:val="auto"/>
              </w:rPr>
            </w:pPr>
            <w:r>
              <w:rPr>
                <w:rFonts w:ascii="Arial" w:cs="Arial" w:eastAsia="Arial" w:hAnsi="Arial"/>
                <w:sz w:val="18"/>
                <w:szCs w:val="18"/>
                <w:color w:val="auto"/>
              </w:rPr>
              <w:t>available in print, free of</w:t>
            </w:r>
          </w:p>
        </w:tc>
        <w:tc>
          <w:tcPr>
            <w:tcW w:w="210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w w:val="97"/>
              </w:rPr>
              <w:t>charge, to any shareholder</w:t>
            </w:r>
          </w:p>
        </w:tc>
        <w:tc>
          <w:tcPr>
            <w:tcW w:w="3080" w:type="dxa"/>
            <w:vAlign w:val="bottom"/>
          </w:tcPr>
          <w:p>
            <w:pPr>
              <w:spacing w:after="0"/>
              <w:rPr>
                <w:sz w:val="20"/>
                <w:szCs w:val="20"/>
                <w:color w:val="auto"/>
              </w:rPr>
            </w:pPr>
            <w:r>
              <w:rPr>
                <w:rFonts w:ascii="Arial" w:cs="Arial" w:eastAsia="Arial" w:hAnsi="Arial"/>
                <w:sz w:val="18"/>
                <w:szCs w:val="18"/>
                <w:color w:val="auto"/>
              </w:rPr>
              <w:t>upon request.</w:t>
            </w:r>
          </w:p>
        </w:tc>
      </w:tr>
      <w:tr>
        <w:trPr>
          <w:trHeight w:val="344"/>
        </w:trPr>
        <w:tc>
          <w:tcPr>
            <w:tcW w:w="3920" w:type="dxa"/>
            <w:vAlign w:val="bottom"/>
          </w:tcPr>
          <w:p>
            <w:pPr>
              <w:spacing w:after="0"/>
              <w:rPr>
                <w:sz w:val="24"/>
                <w:szCs w:val="24"/>
                <w:color w:val="auto"/>
              </w:rPr>
            </w:pPr>
          </w:p>
        </w:tc>
        <w:tc>
          <w:tcPr>
            <w:tcW w:w="7320" w:type="dxa"/>
            <w:vAlign w:val="bottom"/>
            <w:gridSpan w:val="6"/>
          </w:tcPr>
          <w:p>
            <w:pPr>
              <w:spacing w:after="0"/>
              <w:rPr>
                <w:sz w:val="20"/>
                <w:szCs w:val="20"/>
                <w:color w:val="auto"/>
              </w:rPr>
            </w:pPr>
            <w:r>
              <w:rPr>
                <w:rFonts w:ascii="Arial" w:cs="Arial" w:eastAsia="Arial" w:hAnsi="Arial"/>
                <w:sz w:val="18"/>
                <w:szCs w:val="18"/>
                <w:color w:val="auto"/>
              </w:rPr>
              <w:t>Financial Expertise and Independence</w:t>
            </w:r>
          </w:p>
        </w:tc>
      </w:tr>
      <w:tr>
        <w:trPr>
          <w:trHeight w:val="20"/>
        </w:trPr>
        <w:tc>
          <w:tcPr>
            <w:tcW w:w="39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560" w:type="dxa"/>
            <w:vAlign w:val="bottom"/>
            <w:gridSpan w:val="3"/>
            <w:shd w:val="clear" w:color="auto" w:fill="000000"/>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r>
      <w:tr>
        <w:trPr>
          <w:trHeight w:val="382"/>
        </w:trPr>
        <w:tc>
          <w:tcPr>
            <w:tcW w:w="3920" w:type="dxa"/>
            <w:vAlign w:val="bottom"/>
          </w:tcPr>
          <w:p>
            <w:pPr>
              <w:spacing w:after="0"/>
              <w:rPr>
                <w:sz w:val="24"/>
                <w:szCs w:val="24"/>
                <w:color w:val="auto"/>
              </w:rPr>
            </w:pPr>
          </w:p>
        </w:tc>
        <w:tc>
          <w:tcPr>
            <w:tcW w:w="7320" w:type="dxa"/>
            <w:vAlign w:val="bottom"/>
            <w:gridSpan w:val="6"/>
          </w:tcPr>
          <w:p>
            <w:pPr>
              <w:spacing w:after="0"/>
              <w:rPr>
                <w:sz w:val="20"/>
                <w:szCs w:val="20"/>
                <w:color w:val="auto"/>
              </w:rPr>
            </w:pPr>
            <w:r>
              <w:rPr>
                <w:rFonts w:ascii="Arial" w:cs="Arial" w:eastAsia="Arial" w:hAnsi="Arial"/>
                <w:sz w:val="18"/>
                <w:szCs w:val="18"/>
                <w:color w:val="auto"/>
              </w:rPr>
              <w:t>The Board has determined that, of the persons on the Audit Committee, at a minimum Mr.</w:t>
            </w:r>
          </w:p>
        </w:tc>
      </w:tr>
      <w:tr>
        <w:trPr>
          <w:trHeight w:val="199"/>
        </w:trPr>
        <w:tc>
          <w:tcPr>
            <w:tcW w:w="3920" w:type="dxa"/>
            <w:vAlign w:val="bottom"/>
          </w:tcPr>
          <w:p>
            <w:pPr>
              <w:spacing w:after="0"/>
              <w:rPr>
                <w:sz w:val="17"/>
                <w:szCs w:val="17"/>
                <w:color w:val="auto"/>
              </w:rPr>
            </w:pPr>
          </w:p>
        </w:tc>
        <w:tc>
          <w:tcPr>
            <w:tcW w:w="7320" w:type="dxa"/>
            <w:vAlign w:val="bottom"/>
            <w:gridSpan w:val="6"/>
          </w:tcPr>
          <w:p>
            <w:pPr>
              <w:spacing w:after="0" w:line="199" w:lineRule="exact"/>
              <w:rPr>
                <w:sz w:val="20"/>
                <w:szCs w:val="20"/>
                <w:color w:val="auto"/>
              </w:rPr>
            </w:pPr>
            <w:r>
              <w:rPr>
                <w:rFonts w:ascii="Arial" w:cs="Arial" w:eastAsia="Arial" w:hAnsi="Arial"/>
                <w:sz w:val="18"/>
                <w:szCs w:val="18"/>
                <w:color w:val="auto"/>
              </w:rPr>
              <w:t>Carlson meets the requirements of being an Audit Committee Financial Expert as defined</w:t>
            </w:r>
          </w:p>
        </w:tc>
      </w:tr>
      <w:tr>
        <w:trPr>
          <w:trHeight w:val="241"/>
        </w:trPr>
        <w:tc>
          <w:tcPr>
            <w:tcW w:w="3920" w:type="dxa"/>
            <w:vAlign w:val="bottom"/>
          </w:tcPr>
          <w:p>
            <w:pPr>
              <w:spacing w:after="0"/>
              <w:rPr>
                <w:sz w:val="20"/>
                <w:szCs w:val="20"/>
                <w:color w:val="auto"/>
              </w:rPr>
            </w:pPr>
          </w:p>
        </w:tc>
        <w:tc>
          <w:tcPr>
            <w:tcW w:w="7320" w:type="dxa"/>
            <w:vAlign w:val="bottom"/>
            <w:gridSpan w:val="6"/>
          </w:tcPr>
          <w:p>
            <w:pPr>
              <w:spacing w:after="0"/>
              <w:rPr>
                <w:sz w:val="20"/>
                <w:szCs w:val="20"/>
                <w:color w:val="auto"/>
              </w:rPr>
            </w:pPr>
            <w:r>
              <w:rPr>
                <w:rFonts w:ascii="Arial" w:cs="Arial" w:eastAsia="Arial" w:hAnsi="Arial"/>
                <w:sz w:val="18"/>
                <w:szCs w:val="18"/>
                <w:color w:val="auto"/>
              </w:rPr>
              <w:t>in Item 407(d) of Regulation S-K of the Securities Exchange Act of 1934, as amended.</w:t>
            </w:r>
          </w:p>
        </w:tc>
      </w:tr>
      <w:tr>
        <w:trPr>
          <w:trHeight w:val="356"/>
        </w:trPr>
        <w:tc>
          <w:tcPr>
            <w:tcW w:w="3920" w:type="dxa"/>
            <w:vAlign w:val="bottom"/>
          </w:tcPr>
          <w:p>
            <w:pPr>
              <w:spacing w:after="0"/>
              <w:rPr>
                <w:sz w:val="24"/>
                <w:szCs w:val="24"/>
                <w:color w:val="auto"/>
              </w:rPr>
            </w:pPr>
          </w:p>
        </w:tc>
        <w:tc>
          <w:tcPr>
            <w:tcW w:w="7320" w:type="dxa"/>
            <w:vAlign w:val="bottom"/>
            <w:gridSpan w:val="6"/>
          </w:tcPr>
          <w:p>
            <w:pPr>
              <w:spacing w:after="0"/>
              <w:rPr>
                <w:sz w:val="20"/>
                <w:szCs w:val="20"/>
                <w:color w:val="auto"/>
              </w:rPr>
            </w:pPr>
            <w:r>
              <w:rPr>
                <w:rFonts w:ascii="Arial" w:cs="Arial" w:eastAsia="Arial" w:hAnsi="Arial"/>
                <w:sz w:val="18"/>
                <w:szCs w:val="18"/>
                <w:color w:val="auto"/>
              </w:rPr>
              <w:t>The Board has also determined that each current member of the Audit Committee</w:t>
            </w:r>
          </w:p>
        </w:tc>
      </w:tr>
      <w:tr>
        <w:trPr>
          <w:trHeight w:val="199"/>
        </w:trPr>
        <w:tc>
          <w:tcPr>
            <w:tcW w:w="3920" w:type="dxa"/>
            <w:vAlign w:val="bottom"/>
          </w:tcPr>
          <w:p>
            <w:pPr>
              <w:spacing w:after="0"/>
              <w:rPr>
                <w:sz w:val="17"/>
                <w:szCs w:val="17"/>
                <w:color w:val="auto"/>
              </w:rPr>
            </w:pPr>
          </w:p>
        </w:tc>
        <w:tc>
          <w:tcPr>
            <w:tcW w:w="7320" w:type="dxa"/>
            <w:vAlign w:val="bottom"/>
            <w:gridSpan w:val="6"/>
          </w:tcPr>
          <w:p>
            <w:pPr>
              <w:spacing w:after="0" w:line="199" w:lineRule="exact"/>
              <w:rPr>
                <w:sz w:val="20"/>
                <w:szCs w:val="20"/>
                <w:color w:val="auto"/>
              </w:rPr>
            </w:pPr>
            <w:r>
              <w:rPr>
                <w:rFonts w:ascii="Arial" w:cs="Arial" w:eastAsia="Arial" w:hAnsi="Arial"/>
                <w:sz w:val="18"/>
                <w:szCs w:val="18"/>
                <w:color w:val="auto"/>
              </w:rPr>
              <w:t>satisfies applicable NYSE requirements as well as the separate independence standards</w:t>
            </w:r>
          </w:p>
        </w:tc>
      </w:tr>
      <w:tr>
        <w:trPr>
          <w:trHeight w:val="241"/>
        </w:trPr>
        <w:tc>
          <w:tcPr>
            <w:tcW w:w="3920" w:type="dxa"/>
            <w:vAlign w:val="bottom"/>
          </w:tcPr>
          <w:p>
            <w:pPr>
              <w:spacing w:after="0"/>
              <w:rPr>
                <w:sz w:val="20"/>
                <w:szCs w:val="20"/>
                <w:color w:val="auto"/>
              </w:rPr>
            </w:pPr>
          </w:p>
        </w:tc>
        <w:tc>
          <w:tcPr>
            <w:tcW w:w="7320" w:type="dxa"/>
            <w:vAlign w:val="bottom"/>
            <w:gridSpan w:val="6"/>
          </w:tcPr>
          <w:p>
            <w:pPr>
              <w:spacing w:after="0"/>
              <w:rPr>
                <w:sz w:val="20"/>
                <w:szCs w:val="20"/>
                <w:color w:val="auto"/>
              </w:rPr>
            </w:pPr>
            <w:r>
              <w:rPr>
                <w:rFonts w:ascii="Arial" w:cs="Arial" w:eastAsia="Arial" w:hAnsi="Arial"/>
                <w:sz w:val="18"/>
                <w:szCs w:val="18"/>
                <w:color w:val="auto"/>
              </w:rPr>
              <w:t>set forth by the SEC.</w:t>
            </w:r>
          </w:p>
        </w:tc>
      </w:tr>
      <w:tr>
        <w:trPr>
          <w:trHeight w:val="353"/>
        </w:trPr>
        <w:tc>
          <w:tcPr>
            <w:tcW w:w="3920" w:type="dxa"/>
            <w:vAlign w:val="bottom"/>
          </w:tcPr>
          <w:p>
            <w:pPr>
              <w:spacing w:after="0"/>
              <w:rPr>
                <w:sz w:val="24"/>
                <w:szCs w:val="24"/>
                <w:color w:val="auto"/>
              </w:rPr>
            </w:pPr>
          </w:p>
        </w:tc>
        <w:tc>
          <w:tcPr>
            <w:tcW w:w="7320" w:type="dxa"/>
            <w:vAlign w:val="bottom"/>
            <w:gridSpan w:val="6"/>
          </w:tcPr>
          <w:p>
            <w:pPr>
              <w:spacing w:after="0"/>
              <w:rPr>
                <w:sz w:val="20"/>
                <w:szCs w:val="20"/>
                <w:color w:val="auto"/>
              </w:rPr>
            </w:pPr>
            <w:r>
              <w:rPr>
                <w:rFonts w:ascii="Arial" w:cs="Arial" w:eastAsia="Arial" w:hAnsi="Arial"/>
                <w:sz w:val="18"/>
                <w:szCs w:val="18"/>
                <w:color w:val="auto"/>
              </w:rPr>
              <w:t>Report</w:t>
            </w:r>
          </w:p>
        </w:tc>
      </w:tr>
      <w:tr>
        <w:trPr>
          <w:trHeight w:val="20"/>
        </w:trPr>
        <w:tc>
          <w:tcPr>
            <w:tcW w:w="39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780" w:type="dxa"/>
            <w:vAlign w:val="bottom"/>
            <w:gridSpan w:val="5"/>
          </w:tcPr>
          <w:p>
            <w:pPr>
              <w:spacing w:after="0" w:line="20" w:lineRule="exact"/>
              <w:rPr>
                <w:sz w:val="1"/>
                <w:szCs w:val="1"/>
                <w:color w:val="auto"/>
              </w:rPr>
            </w:pPr>
          </w:p>
        </w:tc>
      </w:tr>
      <w:tr>
        <w:trPr>
          <w:trHeight w:val="234"/>
        </w:trPr>
        <w:tc>
          <w:tcPr>
            <w:tcW w:w="3920" w:type="dxa"/>
            <w:vAlign w:val="bottom"/>
          </w:tcPr>
          <w:p>
            <w:pPr>
              <w:spacing w:after="0"/>
              <w:rPr>
                <w:sz w:val="20"/>
                <w:szCs w:val="20"/>
                <w:color w:val="auto"/>
              </w:rPr>
            </w:pPr>
          </w:p>
        </w:tc>
        <w:tc>
          <w:tcPr>
            <w:tcW w:w="7320" w:type="dxa"/>
            <w:vAlign w:val="bottom"/>
            <w:gridSpan w:val="6"/>
          </w:tcPr>
          <w:p>
            <w:pPr>
              <w:spacing w:after="0"/>
              <w:rPr>
                <w:sz w:val="20"/>
                <w:szCs w:val="20"/>
                <w:color w:val="auto"/>
              </w:rPr>
            </w:pPr>
            <w:r>
              <w:rPr>
                <w:rFonts w:ascii="Arial" w:cs="Arial" w:eastAsia="Arial" w:hAnsi="Arial"/>
                <w:sz w:val="18"/>
                <w:szCs w:val="18"/>
                <w:color w:val="auto"/>
              </w:rPr>
              <w:t>The Audit Committee Report is included in this Proxy Statement beginning on page 58.</w:t>
            </w:r>
          </w:p>
        </w:tc>
      </w:tr>
      <w:tr>
        <w:trPr>
          <w:trHeight w:val="157"/>
        </w:trPr>
        <w:tc>
          <w:tcPr>
            <w:tcW w:w="39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tcPr>
          <w:p>
            <w:pPr>
              <w:spacing w:after="0"/>
              <w:rPr>
                <w:sz w:val="13"/>
                <w:szCs w:val="13"/>
                <w:color w:val="auto"/>
              </w:rPr>
            </w:pPr>
          </w:p>
        </w:tc>
      </w:tr>
      <w:tr>
        <w:trPr>
          <w:trHeight w:val="167"/>
        </w:trPr>
        <w:tc>
          <w:tcPr>
            <w:tcW w:w="3920" w:type="dxa"/>
            <w:vAlign w:val="bottom"/>
          </w:tcPr>
          <w:p>
            <w:pPr>
              <w:ind w:left="80"/>
              <w:spacing w:after="0" w:line="167" w:lineRule="exact"/>
              <w:rPr>
                <w:sz w:val="20"/>
                <w:szCs w:val="20"/>
                <w:color w:val="auto"/>
              </w:rPr>
            </w:pPr>
            <w:r>
              <w:rPr>
                <w:rFonts w:ascii="Arial" w:cs="Arial" w:eastAsia="Arial" w:hAnsi="Arial"/>
                <w:sz w:val="18"/>
                <w:szCs w:val="18"/>
                <w:b w:val="1"/>
                <w:bCs w:val="1"/>
                <w:color w:val="auto"/>
              </w:rPr>
              <w:t>Finance Committee</w:t>
            </w:r>
          </w:p>
        </w:tc>
        <w:tc>
          <w:tcPr>
            <w:tcW w:w="7320" w:type="dxa"/>
            <w:vAlign w:val="bottom"/>
            <w:gridSpan w:val="6"/>
          </w:tcPr>
          <w:p>
            <w:pPr>
              <w:spacing w:after="0" w:line="167" w:lineRule="exact"/>
              <w:rPr>
                <w:sz w:val="20"/>
                <w:szCs w:val="20"/>
                <w:color w:val="auto"/>
              </w:rPr>
            </w:pPr>
            <w:r>
              <w:rPr>
                <w:rFonts w:ascii="Arial" w:cs="Arial" w:eastAsia="Arial" w:hAnsi="Arial"/>
                <w:sz w:val="18"/>
                <w:szCs w:val="18"/>
                <w:color w:val="auto"/>
              </w:rPr>
              <w:t>Primary Responsibilities</w:t>
            </w:r>
          </w:p>
        </w:tc>
      </w:tr>
      <w:tr>
        <w:trPr>
          <w:trHeight w:val="183"/>
        </w:trPr>
        <w:tc>
          <w:tcPr>
            <w:tcW w:w="3920" w:type="dxa"/>
            <w:vAlign w:val="bottom"/>
          </w:tcPr>
          <w:p>
            <w:pPr>
              <w:spacing w:after="0"/>
              <w:rPr>
                <w:sz w:val="15"/>
                <w:szCs w:val="15"/>
                <w:color w:val="auto"/>
              </w:rPr>
            </w:pPr>
          </w:p>
        </w:tc>
        <w:tc>
          <w:tcPr>
            <w:tcW w:w="1940" w:type="dxa"/>
            <w:vAlign w:val="bottom"/>
            <w:tcBorders>
              <w:top w:val="single" w:sz="8" w:color="auto"/>
            </w:tcBorders>
            <w:gridSpan w:val="2"/>
          </w:tcPr>
          <w:p>
            <w:pPr>
              <w:ind w:left="300"/>
              <w:spacing w:after="0" w:line="182"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 xml:space="preserve"> Formulate the</w:t>
            </w:r>
          </w:p>
        </w:tc>
        <w:tc>
          <w:tcPr>
            <w:tcW w:w="5380" w:type="dxa"/>
            <w:vAlign w:val="bottom"/>
            <w:gridSpan w:val="4"/>
          </w:tcPr>
          <w:p>
            <w:pPr>
              <w:spacing w:after="0" w:line="182" w:lineRule="exact"/>
              <w:rPr>
                <w:sz w:val="20"/>
                <w:szCs w:val="20"/>
                <w:color w:val="auto"/>
              </w:rPr>
            </w:pPr>
            <w:r>
              <w:rPr>
                <w:rFonts w:ascii="Arial" w:cs="Arial" w:eastAsia="Arial" w:hAnsi="Arial"/>
                <w:sz w:val="18"/>
                <w:szCs w:val="18"/>
                <w:color w:val="auto"/>
              </w:rPr>
              <w:t>Company’s investment policy and investment guidelines</w:t>
            </w:r>
          </w:p>
        </w:tc>
      </w:tr>
      <w:tr>
        <w:trPr>
          <w:trHeight w:val="199"/>
        </w:trPr>
        <w:tc>
          <w:tcPr>
            <w:tcW w:w="3920" w:type="dxa"/>
            <w:vAlign w:val="bottom"/>
          </w:tcPr>
          <w:p>
            <w:pPr>
              <w:ind w:left="80"/>
              <w:spacing w:after="0" w:line="199" w:lineRule="exact"/>
              <w:rPr>
                <w:sz w:val="20"/>
                <w:szCs w:val="20"/>
                <w:color w:val="auto"/>
              </w:rPr>
            </w:pPr>
            <w:r>
              <w:rPr>
                <w:rFonts w:ascii="Arial" w:cs="Arial" w:eastAsia="Arial" w:hAnsi="Arial"/>
                <w:sz w:val="18"/>
                <w:szCs w:val="18"/>
                <w:color w:val="auto"/>
              </w:rPr>
              <w:t>Met four times during fiscal year 2025</w:t>
            </w:r>
          </w:p>
        </w:tc>
        <w:tc>
          <w:tcPr>
            <w:tcW w:w="7320" w:type="dxa"/>
            <w:vAlign w:val="bottom"/>
            <w:gridSpan w:val="6"/>
          </w:tcPr>
          <w:p>
            <w:pPr>
              <w:ind w:left="30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 xml:space="preserve"> Review the performance and asset allocation of the Company’s investment</w:t>
            </w:r>
          </w:p>
        </w:tc>
      </w:tr>
      <w:tr>
        <w:trPr>
          <w:trHeight w:val="199"/>
        </w:trPr>
        <w:tc>
          <w:tcPr>
            <w:tcW w:w="3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780" w:type="dxa"/>
            <w:vAlign w:val="bottom"/>
            <w:gridSpan w:val="5"/>
          </w:tcPr>
          <w:p>
            <w:pPr>
              <w:ind w:left="60"/>
              <w:spacing w:after="0" w:line="199" w:lineRule="exact"/>
              <w:rPr>
                <w:sz w:val="20"/>
                <w:szCs w:val="20"/>
                <w:color w:val="auto"/>
              </w:rPr>
            </w:pPr>
            <w:r>
              <w:rPr>
                <w:rFonts w:ascii="Arial" w:cs="Arial" w:eastAsia="Arial" w:hAnsi="Arial"/>
                <w:sz w:val="18"/>
                <w:szCs w:val="18"/>
                <w:color w:val="auto"/>
              </w:rPr>
              <w:t>portfolio on a regular basis</w:t>
            </w:r>
          </w:p>
        </w:tc>
      </w:tr>
      <w:tr>
        <w:trPr>
          <w:trHeight w:val="199"/>
        </w:trPr>
        <w:tc>
          <w:tcPr>
            <w:tcW w:w="3920" w:type="dxa"/>
            <w:vAlign w:val="bottom"/>
          </w:tcPr>
          <w:p>
            <w:pPr>
              <w:ind w:left="80"/>
              <w:spacing w:after="0" w:line="199" w:lineRule="exact"/>
              <w:rPr>
                <w:sz w:val="20"/>
                <w:szCs w:val="20"/>
                <w:color w:val="auto"/>
              </w:rPr>
            </w:pPr>
            <w:r>
              <w:rPr>
                <w:rFonts w:ascii="Arial" w:cs="Arial" w:eastAsia="Arial" w:hAnsi="Arial"/>
                <w:sz w:val="18"/>
                <w:szCs w:val="18"/>
                <w:color w:val="auto"/>
              </w:rPr>
              <w:t>Current Committee Members:</w:t>
            </w:r>
          </w:p>
        </w:tc>
        <w:tc>
          <w:tcPr>
            <w:tcW w:w="7320" w:type="dxa"/>
            <w:vAlign w:val="bottom"/>
            <w:gridSpan w:val="6"/>
          </w:tcPr>
          <w:p>
            <w:pPr>
              <w:ind w:left="30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 xml:space="preserve"> Monitor the capital, debt, and corporate structure of the Company</w:t>
            </w:r>
          </w:p>
        </w:tc>
      </w:tr>
      <w:tr>
        <w:trPr>
          <w:trHeight w:val="199"/>
        </w:trPr>
        <w:tc>
          <w:tcPr>
            <w:tcW w:w="3920" w:type="dxa"/>
            <w:vAlign w:val="bottom"/>
          </w:tcPr>
          <w:p>
            <w:pPr>
              <w:ind w:left="38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 xml:space="preserve"> Mary Choksi (Chair)</w:t>
            </w:r>
          </w:p>
        </w:tc>
        <w:tc>
          <w:tcPr>
            <w:tcW w:w="7320" w:type="dxa"/>
            <w:vAlign w:val="bottom"/>
            <w:gridSpan w:val="6"/>
          </w:tcPr>
          <w:p>
            <w:pPr>
              <w:ind w:left="30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 xml:space="preserve"> In coordination with the Audit Committee, review the adequacy of risk</w:t>
            </w:r>
          </w:p>
        </w:tc>
      </w:tr>
      <w:tr>
        <w:trPr>
          <w:trHeight w:val="199"/>
        </w:trPr>
        <w:tc>
          <w:tcPr>
            <w:tcW w:w="3920" w:type="dxa"/>
            <w:vAlign w:val="bottom"/>
          </w:tcPr>
          <w:p>
            <w:pPr>
              <w:ind w:left="38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 xml:space="preserve"> Liam Caffrey</w:t>
            </w:r>
          </w:p>
        </w:tc>
        <w:tc>
          <w:tcPr>
            <w:tcW w:w="540" w:type="dxa"/>
            <w:vAlign w:val="bottom"/>
          </w:tcPr>
          <w:p>
            <w:pPr>
              <w:spacing w:after="0"/>
              <w:rPr>
                <w:sz w:val="17"/>
                <w:szCs w:val="17"/>
                <w:color w:val="auto"/>
              </w:rPr>
            </w:pPr>
          </w:p>
        </w:tc>
        <w:tc>
          <w:tcPr>
            <w:tcW w:w="6780" w:type="dxa"/>
            <w:vAlign w:val="bottom"/>
            <w:gridSpan w:val="5"/>
          </w:tcPr>
          <w:p>
            <w:pPr>
              <w:ind w:left="60"/>
              <w:spacing w:after="0" w:line="199" w:lineRule="exact"/>
              <w:rPr>
                <w:sz w:val="20"/>
                <w:szCs w:val="20"/>
                <w:color w:val="auto"/>
              </w:rPr>
            </w:pPr>
            <w:r>
              <w:rPr>
                <w:rFonts w:ascii="Arial" w:cs="Arial" w:eastAsia="Arial" w:hAnsi="Arial"/>
                <w:sz w:val="18"/>
                <w:szCs w:val="18"/>
                <w:color w:val="auto"/>
              </w:rPr>
              <w:t>management, including with respect to new business opportunities outside of</w:t>
            </w:r>
          </w:p>
        </w:tc>
      </w:tr>
      <w:tr>
        <w:trPr>
          <w:trHeight w:val="199"/>
        </w:trPr>
        <w:tc>
          <w:tcPr>
            <w:tcW w:w="3920" w:type="dxa"/>
            <w:vAlign w:val="bottom"/>
          </w:tcPr>
          <w:p>
            <w:pPr>
              <w:ind w:left="38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 xml:space="preserve"> Reid Campbell</w:t>
            </w:r>
          </w:p>
        </w:tc>
        <w:tc>
          <w:tcPr>
            <w:tcW w:w="540" w:type="dxa"/>
            <w:vAlign w:val="bottom"/>
          </w:tcPr>
          <w:p>
            <w:pPr>
              <w:spacing w:after="0"/>
              <w:rPr>
                <w:sz w:val="17"/>
                <w:szCs w:val="17"/>
                <w:color w:val="auto"/>
              </w:rPr>
            </w:pPr>
          </w:p>
        </w:tc>
        <w:tc>
          <w:tcPr>
            <w:tcW w:w="6780" w:type="dxa"/>
            <w:vAlign w:val="bottom"/>
            <w:gridSpan w:val="5"/>
          </w:tcPr>
          <w:p>
            <w:pPr>
              <w:ind w:left="60"/>
              <w:spacing w:after="0" w:line="199" w:lineRule="exact"/>
              <w:rPr>
                <w:sz w:val="20"/>
                <w:szCs w:val="20"/>
                <w:color w:val="auto"/>
              </w:rPr>
            </w:pPr>
            <w:r>
              <w:rPr>
                <w:rFonts w:ascii="Arial" w:cs="Arial" w:eastAsia="Arial" w:hAnsi="Arial"/>
                <w:sz w:val="18"/>
                <w:szCs w:val="18"/>
                <w:color w:val="auto"/>
              </w:rPr>
              <w:t>traditional property and casualty insurance and reinsurance</w:t>
            </w:r>
          </w:p>
        </w:tc>
      </w:tr>
      <w:tr>
        <w:trPr>
          <w:trHeight w:val="199"/>
        </w:trPr>
        <w:tc>
          <w:tcPr>
            <w:tcW w:w="3920" w:type="dxa"/>
            <w:vAlign w:val="bottom"/>
          </w:tcPr>
          <w:p>
            <w:pPr>
              <w:ind w:left="38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 xml:space="preserve"> Suzanne Shank</w:t>
            </w:r>
          </w:p>
        </w:tc>
        <w:tc>
          <w:tcPr>
            <w:tcW w:w="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80" w:type="dxa"/>
            <w:vAlign w:val="bottom"/>
          </w:tcPr>
          <w:p>
            <w:pPr>
              <w:spacing w:after="0"/>
              <w:rPr>
                <w:sz w:val="17"/>
                <w:szCs w:val="17"/>
                <w:color w:val="auto"/>
              </w:rPr>
            </w:pPr>
          </w:p>
        </w:tc>
      </w:tr>
      <w:tr>
        <w:trPr>
          <w:trHeight w:val="199"/>
        </w:trPr>
        <w:tc>
          <w:tcPr>
            <w:tcW w:w="3920" w:type="dxa"/>
            <w:vAlign w:val="bottom"/>
          </w:tcPr>
          <w:p>
            <w:pPr>
              <w:ind w:left="380"/>
              <w:spacing w:after="0" w:line="199"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 xml:space="preserve"> David Tanner</w:t>
            </w:r>
          </w:p>
        </w:tc>
        <w:tc>
          <w:tcPr>
            <w:tcW w:w="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80" w:type="dxa"/>
            <w:vAlign w:val="bottom"/>
          </w:tcPr>
          <w:p>
            <w:pPr>
              <w:spacing w:after="0"/>
              <w:rPr>
                <w:sz w:val="17"/>
                <w:szCs w:val="17"/>
                <w:color w:val="auto"/>
              </w:rPr>
            </w:pPr>
          </w:p>
        </w:tc>
      </w:tr>
      <w:tr>
        <w:trPr>
          <w:trHeight w:val="241"/>
        </w:trPr>
        <w:tc>
          <w:tcPr>
            <w:tcW w:w="3920" w:type="dxa"/>
            <w:vAlign w:val="bottom"/>
          </w:tcPr>
          <w:p>
            <w:pPr>
              <w:ind w:left="38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       </w:t>
            </w:r>
            <w:r>
              <w:rPr>
                <w:rFonts w:ascii="Arial" w:cs="Arial" w:eastAsia="Arial" w:hAnsi="Arial"/>
                <w:sz w:val="18"/>
                <w:szCs w:val="18"/>
                <w:color w:val="auto"/>
              </w:rPr>
              <w:t xml:space="preserve"> Steven Yi</w:t>
            </w:r>
          </w:p>
        </w:tc>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577"/>
        </w:trPr>
        <w:tc>
          <w:tcPr>
            <w:tcW w:w="39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ind w:left="1600"/>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6"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Interlocks and Insider Participation</w:t>
      </w:r>
    </w:p>
    <w:p>
      <w:pPr>
        <w:spacing w:after="0" w:line="189" w:lineRule="exact"/>
        <w:rPr>
          <w:sz w:val="20"/>
          <w:szCs w:val="20"/>
          <w:color w:val="auto"/>
        </w:rPr>
      </w:pPr>
    </w:p>
    <w:p>
      <w:pPr>
        <w:ind w:firstLine="299"/>
        <w:spacing w:after="0" w:line="270" w:lineRule="auto"/>
        <w:rPr>
          <w:sz w:val="20"/>
          <w:szCs w:val="20"/>
          <w:color w:val="auto"/>
        </w:rPr>
      </w:pPr>
      <w:r>
        <w:rPr>
          <w:rFonts w:ascii="Arial" w:cs="Arial" w:eastAsia="Arial" w:hAnsi="Arial"/>
          <w:sz w:val="18"/>
          <w:szCs w:val="18"/>
          <w:color w:val="auto"/>
        </w:rPr>
        <w:t>No member of the Compensation/Nominating &amp; Governance Committee was an employee of the Registrant during the last fiscal year or has served as an officer of the Registrant.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Consideration of Director Nominees</w:t>
      </w:r>
    </w:p>
    <w:p>
      <w:pPr>
        <w:spacing w:after="0" w:line="18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i w:val="1"/>
          <w:iCs w:val="1"/>
          <w:u w:val="single" w:color="auto"/>
          <w:color w:val="auto"/>
        </w:rPr>
        <w:t>General Criteria and Process for Selection of Director Candidates.</w:t>
      </w:r>
      <w:r>
        <w:rPr>
          <w:rFonts w:ascii="Arial" w:cs="Arial" w:eastAsia="Arial" w:hAnsi="Arial"/>
          <w:sz w:val="18"/>
          <w:szCs w:val="18"/>
          <w:i w:val="1"/>
          <w:iCs w:val="1"/>
          <w:color w:val="auto"/>
        </w:rPr>
        <w:t xml:space="preserve"> </w:t>
      </w:r>
      <w:r>
        <w:rPr>
          <w:rFonts w:ascii="Arial" w:cs="Arial" w:eastAsia="Arial" w:hAnsi="Arial"/>
          <w:sz w:val="18"/>
          <w:szCs w:val="18"/>
          <w:color w:val="auto"/>
        </w:rPr>
        <w:t>Our Compensation/Nominating &amp; Governance Committee regularly</w:t>
      </w:r>
      <w:r>
        <w:rPr>
          <w:rFonts w:ascii="Arial" w:cs="Arial" w:eastAsia="Arial" w:hAnsi="Arial"/>
          <w:sz w:val="18"/>
          <w:szCs w:val="18"/>
          <w:i w:val="1"/>
          <w:iCs w:val="1"/>
          <w:color w:val="auto"/>
        </w:rPr>
        <w:t xml:space="preserve"> </w:t>
      </w:r>
      <w:r>
        <w:rPr>
          <w:rFonts w:ascii="Arial" w:cs="Arial" w:eastAsia="Arial" w:hAnsi="Arial"/>
          <w:sz w:val="18"/>
          <w:szCs w:val="18"/>
          <w:color w:val="auto"/>
        </w:rPr>
        <w:t>reviews the individual and collective skills and other attributes of Board members. In identifying and evaluating director candidates, the Compensation/Nominating &amp; Governance Committee does not set specific criteria for directors. Under its Charter, the Committee is responsible for determining desired Board skills and evaluating attributes such as independence, integrity, expertise, breadth of business and life experience, knowledge about the Company’s business and industry and ownership interest in the Company. Directors must be willing to devote adequate time and effort to Board responsibilities. As set forth in the Company’s Corporate Governance Guidelines and its Charter, the Committee is responsible for recommending director candidates to the Board.</w:t>
      </w:r>
    </w:p>
    <w:p>
      <w:pPr>
        <w:spacing w:after="0" w:line="162" w:lineRule="exact"/>
        <w:rPr>
          <w:sz w:val="20"/>
          <w:szCs w:val="20"/>
          <w:color w:val="auto"/>
        </w:rPr>
      </w:pPr>
    </w:p>
    <w:p>
      <w:pPr>
        <w:ind w:right="460" w:firstLine="299"/>
        <w:spacing w:after="0" w:line="250" w:lineRule="auto"/>
        <w:rPr>
          <w:sz w:val="20"/>
          <w:szCs w:val="20"/>
          <w:color w:val="auto"/>
        </w:rPr>
      </w:pPr>
      <w:r>
        <w:rPr>
          <w:rFonts w:ascii="Arial" w:cs="Arial" w:eastAsia="Arial" w:hAnsi="Arial"/>
          <w:sz w:val="18"/>
          <w:szCs w:val="18"/>
          <w:color w:val="auto"/>
        </w:rPr>
        <w:t>The Compensation/Nominating &amp; Governance Committee has the authority to retain search firms to be used to identify director candidates. We inform any director search firm that may be retained of our preference to include highly qualified candidates who have diverse identities or backgrounds in the pool of potential candidates it presents for consideration by the Board.</w:t>
      </w:r>
    </w:p>
    <w:p>
      <w:pPr>
        <w:spacing w:after="0" w:line="150"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i w:val="1"/>
          <w:iCs w:val="1"/>
          <w:u w:val="single" w:color="auto"/>
          <w:color w:val="auto"/>
        </w:rPr>
        <w:t>Consideration of Diversity in Selection of Director Candidates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believe that a variety of perspectives, opinions, backgrounds,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and life experiences and tenure among the members of the Board enhances the Board’s ability to perform its duties and effectively oversee the Company’s business. In the selection of director candidates, we welcome a diversity of skills, backgrounds, business and life experiences, identities and viewpoints.</w:t>
      </w:r>
    </w:p>
    <w:p>
      <w:pPr>
        <w:spacing w:after="0" w:line="14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i w:val="1"/>
          <w:iCs w:val="1"/>
          <w:u w:val="single" w:color="auto"/>
          <w:color w:val="auto"/>
        </w:rPr>
        <w:t>Consideration of Director Candidates Nominated by Shareholders.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not adopted a specific policy regarding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 candidates from shareholders. Shareholders who wish to recommend candidates for consideration by the Committee may submit their nominations in writing to the Corporate Secretary at the address provided in this Proxy Statement. The Committee may consider such shareholder recommendations when it evaluates and recommends candidates to the Board for submission to shareholders at each annual general meeting. In addition, shareholders may nominate director candidates for election without consideration by the Committee by complying with the eligibility, advance notice and other provisions of our Bye-laws as described below.</w:t>
      </w:r>
    </w:p>
    <w:p>
      <w:pPr>
        <w:spacing w:after="0" w:line="162" w:lineRule="exact"/>
        <w:rPr>
          <w:sz w:val="20"/>
          <w:szCs w:val="20"/>
          <w:color w:val="auto"/>
        </w:rPr>
      </w:pPr>
    </w:p>
    <w:p>
      <w:pPr>
        <w:spacing w:after="0" w:line="233" w:lineRule="auto"/>
        <w:rPr>
          <w:sz w:val="20"/>
          <w:szCs w:val="20"/>
          <w:color w:val="auto"/>
        </w:rPr>
      </w:pPr>
      <w:r>
        <w:rPr>
          <w:rFonts w:ascii="Arial" w:cs="Arial" w:eastAsia="Arial" w:hAnsi="Arial"/>
          <w:sz w:val="18"/>
          <w:szCs w:val="18"/>
          <w:i w:val="1"/>
          <w:iCs w:val="1"/>
          <w:u w:val="single" w:color="auto"/>
          <w:color w:val="auto"/>
        </w:rPr>
        <w:t>Procedures for Nominating Director Candidates.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Company’s Bye-laws, nominations for the election of directors may be made by</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or by any shareholder entitled to vote for the election of directors (a “Qualified Shareholder”). A Qualified Shareholder may nominate persons for election as directors only if written notice of such Qualified Shareholder’s intent to make such nomination is delivered to the Corporate Secretary not later than: (1) with respect to an election to be held at an annual general meeting, 90 days prior to the anniversary date of the immediately preceding annual general meeting or not later than 10 days after notice or public disclosure of the date of the annual general meeting is given or made available to Qualified Shareholders, whichever date is earlier, and (2) with respect to an election to be held at a special general meeting for the election of directors, the close of business on the seventh day following the date on which notice of such meeting is first given to Qualified Shareholders. Each such notice shall set forth: (a) the name and address of the Qualified Shareholder who intends to make the nomination and of the person or persons to be nominated; (b) a representation that the Qualified Shareholder is a holder of record of common shares entitled to vote at such meeting and intends to appear in person or by proxy at the meeting to nominate the person or persons specified in the notice; (c) a description of all arrangements or understandings between the Qualified Shareholder and each such candidate and any other person or persons (naming such person or persons) pursuant to which the nomination or nominations are to be made by the Qualified Shareholder; (d) such other information regarding each candidate proposed by such Qualified Shareholder as would have been required to be included in a proxy statement filed pursuant to the proxy rules of the SEC had each such candidate been nominated, or intended to be nominated, by the Board; and (e) the consent of each such candidate to serve as a director of the Company if so elected.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Shareholder Communications</w:t>
      </w:r>
    </w:p>
    <w:p>
      <w:pPr>
        <w:spacing w:after="0" w:line="189" w:lineRule="exact"/>
        <w:rPr>
          <w:sz w:val="20"/>
          <w:szCs w:val="20"/>
          <w:color w:val="auto"/>
        </w:rPr>
      </w:pPr>
    </w:p>
    <w:p>
      <w:pPr>
        <w:ind w:right="480" w:firstLine="299"/>
        <w:spacing w:after="0" w:line="250" w:lineRule="auto"/>
        <w:rPr>
          <w:sz w:val="20"/>
          <w:szCs w:val="20"/>
          <w:color w:val="auto"/>
        </w:rPr>
      </w:pPr>
      <w:r>
        <w:rPr>
          <w:rFonts w:ascii="Arial" w:cs="Arial" w:eastAsia="Arial" w:hAnsi="Arial"/>
          <w:sz w:val="18"/>
          <w:szCs w:val="18"/>
          <w:color w:val="auto"/>
        </w:rPr>
        <w:t>Shareholders, employees and others interested in communicating directly with the Board, any of the Board’s Committees or any individual member of the Board should write to the addressee, c/o the Corporate Secretary, at the address presented under “Available Information” (which appears on page 63).</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Succession Planning</w:t>
      </w:r>
    </w:p>
    <w:p>
      <w:pPr>
        <w:spacing w:after="0" w:line="189" w:lineRule="exact"/>
        <w:rPr>
          <w:sz w:val="20"/>
          <w:szCs w:val="20"/>
          <w:color w:val="auto"/>
        </w:rPr>
      </w:pPr>
    </w:p>
    <w:p>
      <w:pPr>
        <w:ind w:right="140" w:firstLine="299"/>
        <w:spacing w:after="0"/>
        <w:rPr>
          <w:sz w:val="20"/>
          <w:szCs w:val="20"/>
          <w:color w:val="auto"/>
        </w:rPr>
      </w:pPr>
      <w:r>
        <w:rPr>
          <w:rFonts w:ascii="Arial" w:cs="Arial" w:eastAsia="Arial" w:hAnsi="Arial"/>
          <w:sz w:val="18"/>
          <w:szCs w:val="18"/>
          <w:color w:val="auto"/>
        </w:rPr>
        <w:t>One of the top responsibilities of the Board is to ensure continuity in White Mountains’s senior leadership by overseeing the development of executive talent and planning for the efficient succession of the CEO and other senior executives. Among the responsibilities of the Compensation/Nominating &amp; Governance Committee is to review, at least annually, the CEO’s short-term and long-term succession plans for the CEO and other senior management positions and report to the Board on succession planning. During 2025, and effective January 1, 2026, the Company completed an orderly succession of its CEO and its CFO roles.</w:t>
      </w:r>
    </w:p>
    <w:p>
      <w:pPr>
        <w:spacing w:after="0" w:line="160" w:lineRule="exact"/>
        <w:rPr>
          <w:sz w:val="20"/>
          <w:szCs w:val="20"/>
          <w:color w:val="auto"/>
        </w:rPr>
      </w:pPr>
    </w:p>
    <w:p>
      <w:pPr>
        <w:ind w:firstLine="299"/>
        <w:spacing w:after="0" w:line="244" w:lineRule="auto"/>
        <w:rPr>
          <w:sz w:val="20"/>
          <w:szCs w:val="20"/>
          <w:color w:val="auto"/>
        </w:rPr>
      </w:pPr>
      <w:r>
        <w:rPr>
          <w:rFonts w:ascii="Arial" w:cs="Arial" w:eastAsia="Arial" w:hAnsi="Arial"/>
          <w:sz w:val="18"/>
          <w:szCs w:val="18"/>
          <w:color w:val="auto"/>
        </w:rPr>
        <w:t>In 2025, the Board held an offsite which allocated a significant portion of its agenda to talent development and succession planning. Our goal is to develop well-rounded and experienced leaders. The Company ensures that our executives have the necessary internal or external training and mentoring they need to develop professionally. Our high potential executives are regularly challenged with additional responsibilities and positioned to interact more frequently with the Board so Directors can get to know and assess them.</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Oversight</w:t>
      </w:r>
    </w:p>
    <w:p>
      <w:pPr>
        <w:spacing w:after="0" w:line="189" w:lineRule="exact"/>
        <w:rPr>
          <w:sz w:val="20"/>
          <w:szCs w:val="20"/>
          <w:color w:val="auto"/>
        </w:rPr>
      </w:pPr>
    </w:p>
    <w:p>
      <w:pPr>
        <w:jc w:val="both"/>
        <w:ind w:right="20" w:firstLine="299"/>
        <w:spacing w:after="0"/>
        <w:rPr>
          <w:sz w:val="20"/>
          <w:szCs w:val="20"/>
          <w:color w:val="auto"/>
        </w:rPr>
      </w:pPr>
      <w:r>
        <w:rPr>
          <w:rFonts w:ascii="Arial" w:cs="Arial" w:eastAsia="Arial" w:hAnsi="Arial"/>
          <w:sz w:val="18"/>
          <w:szCs w:val="18"/>
          <w:color w:val="auto"/>
        </w:rPr>
        <w:t>The Board, directly and through its Committees, plays an active role in the oversight of the Company’s risk management. The subject of risk management is a recurring agenda item, for which the Board regularly receives reports from management on capital, investments, and operations, including the risks associated with each and the steps management is taking to manage those risks. The Board discusses with management the Company’s business strategy, risk appetite and appropriate levels of risk, as well as considerations of ESG risks, such as the impact of climate change, human capital management and cybersecurity threats.</w:t>
      </w:r>
    </w:p>
    <w:p>
      <w:pPr>
        <w:spacing w:after="0" w:line="160" w:lineRule="exact"/>
        <w:rPr>
          <w:sz w:val="20"/>
          <w:szCs w:val="20"/>
          <w:color w:val="auto"/>
        </w:rPr>
      </w:pPr>
    </w:p>
    <w:p>
      <w:pPr>
        <w:ind w:firstLine="299"/>
        <w:spacing w:after="0" w:line="237" w:lineRule="auto"/>
        <w:rPr>
          <w:sz w:val="20"/>
          <w:szCs w:val="20"/>
          <w:color w:val="auto"/>
        </w:rPr>
      </w:pPr>
      <w:r>
        <w:rPr>
          <w:rFonts w:ascii="Arial" w:cs="Arial" w:eastAsia="Arial" w:hAnsi="Arial"/>
          <w:sz w:val="18"/>
          <w:szCs w:val="18"/>
          <w:color w:val="auto"/>
        </w:rPr>
        <w:t>The Board’s committees are assigned oversight responsibility for particular areas of risk. For example, the Audit Committee receives a report, at least annually, on company-wide risks which considers operational, financial, legal, compliance, cyber and reputational risks, as well as climate risks and sustainability matters. The Compensation/Nominating &amp; Governance Committee oversees risk related to executive compensation plans and implementation, corporate governance, succession planning and corporate social responsibility. The Finance Committee oversees the risks related to managing the Company’s investment portfolio. Full Board meetings and individual committee meetings are scheduled so as not to overlap and all directors are encouraged to attend all committee meetings, allowing for every director to participate and provide guidance regarding any risk concerns.</w:t>
      </w:r>
    </w:p>
    <w:p>
      <w:pPr>
        <w:spacing w:after="0" w:line="162" w:lineRule="exact"/>
        <w:rPr>
          <w:sz w:val="20"/>
          <w:szCs w:val="20"/>
          <w:color w:val="auto"/>
        </w:rPr>
      </w:pPr>
    </w:p>
    <w:p>
      <w:pPr>
        <w:ind w:firstLine="299"/>
        <w:spacing w:after="0" w:line="250" w:lineRule="auto"/>
        <w:rPr>
          <w:sz w:val="20"/>
          <w:szCs w:val="20"/>
          <w:color w:val="auto"/>
        </w:rPr>
      </w:pPr>
      <w:r>
        <w:rPr>
          <w:rFonts w:ascii="Arial" w:cs="Arial" w:eastAsia="Arial" w:hAnsi="Arial"/>
          <w:sz w:val="18"/>
          <w:szCs w:val="18"/>
          <w:color w:val="auto"/>
        </w:rPr>
        <w:t>More information about the Company’s approach to risk management, including the primary frameworks used to assess risk and our approach to business continuity and the management of cybersecurity risks, is available on the ESG landing page on our Company website (</w:t>
      </w:r>
      <w:r>
        <w:rPr>
          <w:rFonts w:ascii="Arial" w:cs="Arial" w:eastAsia="Arial" w:hAnsi="Arial"/>
          <w:sz w:val="18"/>
          <w:szCs w:val="18"/>
          <w:i w:val="1"/>
          <w:iCs w:val="1"/>
          <w:u w:val="single" w:color="auto"/>
          <w:color w:val="0000FF"/>
        </w:rPr>
        <w:t>www.whitemountains.com/esg/</w:t>
      </w:r>
      <w:r>
        <w:rPr>
          <w:rFonts w:ascii="Arial" w:cs="Arial" w:eastAsia="Arial" w:hAnsi="Arial"/>
          <w:sz w:val="18"/>
          <w:szCs w:val="18"/>
          <w:color w:val="auto"/>
        </w:rPr>
        <w: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Our ESG Practices</w:t>
      </w:r>
    </w:p>
    <w:p>
      <w:pPr>
        <w:spacing w:after="0" w:line="189" w:lineRule="exact"/>
        <w:rPr>
          <w:sz w:val="20"/>
          <w:szCs w:val="20"/>
          <w:color w:val="auto"/>
        </w:rPr>
      </w:pPr>
    </w:p>
    <w:p>
      <w:pPr>
        <w:ind w:right="240" w:firstLine="299"/>
        <w:spacing w:after="0" w:line="250" w:lineRule="auto"/>
        <w:rPr>
          <w:sz w:val="20"/>
          <w:szCs w:val="20"/>
          <w:color w:val="auto"/>
        </w:rPr>
      </w:pPr>
      <w:r>
        <w:rPr>
          <w:rFonts w:ascii="Arial" w:cs="Arial" w:eastAsia="Arial" w:hAnsi="Arial"/>
          <w:sz w:val="18"/>
          <w:szCs w:val="18"/>
          <w:color w:val="auto"/>
        </w:rPr>
        <w:t>White Mountains strives to create superior growth in the Company’s intrinsic value per share over long periods of time. In order to achieve this goal, and in order to steward our owners’ capital effectively, the Board and management are committed to sustainability and corporate social responsibility. We have made this commitment an integral part of our culture and practices.</w:t>
      </w:r>
    </w:p>
    <w:p>
      <w:pPr>
        <w:spacing w:after="0" w:line="150" w:lineRule="exact"/>
        <w:rPr>
          <w:sz w:val="20"/>
          <w:szCs w:val="20"/>
          <w:color w:val="auto"/>
        </w:rPr>
      </w:pPr>
    </w:p>
    <w:p>
      <w:pPr>
        <w:ind w:firstLine="299"/>
        <w:spacing w:after="0"/>
        <w:rPr>
          <w:sz w:val="20"/>
          <w:szCs w:val="20"/>
          <w:color w:val="auto"/>
        </w:rPr>
      </w:pPr>
      <w:r>
        <w:rPr>
          <w:rFonts w:ascii="Arial" w:cs="Arial" w:eastAsia="Arial" w:hAnsi="Arial"/>
          <w:sz w:val="18"/>
          <w:szCs w:val="18"/>
          <w:color w:val="auto"/>
        </w:rPr>
        <w:t>With oversight from our Board of Directors, we focus on ESG priorities that align with both our Company’s business strategy as well as industry and investor expectations. Our key areas of focus are (i) ESG principles in the Company’s investment policy, (ii) Board oversight of ESG matters, (iii) our climate change statement, and (iv) ESG in our risk management practices. In response to feedback from shareholders, we created an ESG landing page on our Company website. Our ESG priorities are based on their relevance and applicability to our businesses and their feasibility of implementation. Our ESG practices are as follows:</w:t>
      </w:r>
    </w:p>
    <w:p>
      <w:pPr>
        <w:spacing w:after="0" w:line="160" w:lineRule="exact"/>
        <w:rPr>
          <w:sz w:val="20"/>
          <w:szCs w:val="20"/>
          <w:color w:val="auto"/>
        </w:rPr>
      </w:pPr>
    </w:p>
    <w:p>
      <w:pPr>
        <w:ind w:left="600" w:right="160" w:hanging="302"/>
        <w:spacing w:after="0" w:line="270"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ESG in Our Investment Policy: </w:t>
      </w:r>
      <w:r>
        <w:rPr>
          <w:rFonts w:ascii="Arial" w:cs="Arial" w:eastAsia="Arial" w:hAnsi="Arial"/>
          <w:sz w:val="18"/>
          <w:szCs w:val="18"/>
          <w:color w:val="auto"/>
        </w:rPr>
        <w:t>We consider ESG factors when (i) making investment decisions in respect of internally managed</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portfolios and (ii) selecting external investment managers.</w:t>
      </w:r>
    </w:p>
    <w:p>
      <w:pPr>
        <w:spacing w:after="0" w:line="119" w:lineRule="exact"/>
        <w:rPr>
          <w:rFonts w:ascii="Arial" w:cs="Arial" w:eastAsia="Arial" w:hAnsi="Arial"/>
          <w:sz w:val="18"/>
          <w:szCs w:val="18"/>
          <w:color w:val="auto"/>
        </w:rPr>
      </w:pPr>
    </w:p>
    <w:p>
      <w:pPr>
        <w:ind w:left="600" w:right="100" w:hanging="302"/>
        <w:spacing w:after="0" w:line="238"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Board Oversight of ESG: </w:t>
      </w:r>
      <w:r>
        <w:rPr>
          <w:rFonts w:ascii="Arial" w:cs="Arial" w:eastAsia="Arial" w:hAnsi="Arial"/>
          <w:sz w:val="18"/>
          <w:szCs w:val="18"/>
          <w:color w:val="auto"/>
        </w:rPr>
        <w:t>The charters of the Audit, Finance and Compensation/Nominating &amp; Governance Committees explicitly</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ESG oversight responsibilities. The CNG Committee has responsibility for overseeing the Company’s strategy with respect to corporate governance, corporate social responsibility, and succession planning for senior executives. The Finance Committee has responsibility for formulating and approving the investment policy for White Mountains, including the incorporation of ESG considerations. The Audit Committee has responsibility for the oversight of ESG risks as part of its risk management oversight responsibilities.</w:t>
      </w:r>
    </w:p>
    <w:p>
      <w:pPr>
        <w:spacing w:after="0" w:line="149" w:lineRule="exact"/>
        <w:rPr>
          <w:rFonts w:ascii="Arial" w:cs="Arial" w:eastAsia="Arial" w:hAnsi="Arial"/>
          <w:sz w:val="18"/>
          <w:szCs w:val="18"/>
          <w:color w:val="auto"/>
        </w:rPr>
      </w:pPr>
    </w:p>
    <w:p>
      <w:pPr>
        <w:ind w:left="600" w:hanging="30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Statement on Climate Change: </w:t>
      </w:r>
      <w:r>
        <w:rPr>
          <w:rFonts w:ascii="Arial" w:cs="Arial" w:eastAsia="Arial" w:hAnsi="Arial"/>
          <w:sz w:val="18"/>
          <w:szCs w:val="18"/>
          <w:color w:val="auto"/>
        </w:rPr>
        <w:t>Our corporate statement on climate change is as follows:</w:t>
      </w:r>
    </w:p>
    <w:p>
      <w:pPr>
        <w:spacing w:after="0" w:line="179" w:lineRule="exact"/>
        <w:rPr>
          <w:sz w:val="20"/>
          <w:szCs w:val="20"/>
          <w:color w:val="auto"/>
        </w:rPr>
      </w:pPr>
    </w:p>
    <w:p>
      <w:pPr>
        <w:ind w:left="900" w:right="780"/>
        <w:spacing w:after="0" w:line="236" w:lineRule="auto"/>
        <w:rPr>
          <w:sz w:val="20"/>
          <w:szCs w:val="20"/>
          <w:color w:val="auto"/>
        </w:rPr>
      </w:pPr>
      <w:r>
        <w:rPr>
          <w:rFonts w:ascii="Arial" w:cs="Arial" w:eastAsia="Arial" w:hAnsi="Arial"/>
          <w:sz w:val="18"/>
          <w:szCs w:val="18"/>
          <w:color w:val="auto"/>
        </w:rPr>
        <w:t>“Carbon dioxide and other greenhouse gases contribute to higher temperatures, sea level rise and weather events including droughts, wildfires, convective storms and hurricanes. We do not manufacture products that produce carbon dioxide or other greenhouse gases, nor do we otherwise meaningfully impact the environment through our operations. However, as the owner and operator of a diversified group of businesses in insurance, financial services and related sectors, we are exposed to risks that are exacerbated by climate change, in particular in our property and casualty insurance/reinsurance and municipal bond reinsurance businesses. Accordingly, in our risk management processes, we consider the potential impact of climate change on the nature of the risks we are assuming and the pricing for such risks.</w:t>
      </w:r>
    </w:p>
    <w:p>
      <w:pPr>
        <w:spacing w:after="0" w:line="164" w:lineRule="exact"/>
        <w:rPr>
          <w:sz w:val="20"/>
          <w:szCs w:val="20"/>
          <w:color w:val="auto"/>
        </w:rPr>
      </w:pPr>
    </w:p>
    <w:p>
      <w:pPr>
        <w:ind w:left="900" w:right="960"/>
        <w:spacing w:after="0" w:line="270" w:lineRule="auto"/>
        <w:rPr>
          <w:sz w:val="20"/>
          <w:szCs w:val="20"/>
          <w:color w:val="auto"/>
        </w:rPr>
      </w:pPr>
      <w:r>
        <w:rPr>
          <w:rFonts w:ascii="Arial" w:cs="Arial" w:eastAsia="Arial" w:hAnsi="Arial"/>
          <w:sz w:val="18"/>
          <w:szCs w:val="18"/>
          <w:color w:val="auto"/>
        </w:rPr>
        <w:t>We believe that we have an important role to play as a responsible corporate citizen on climate change matters. Our corporate philanthropy reflects our commitment to the environment.”</w:t>
      </w:r>
    </w:p>
    <w:p>
      <w:pPr>
        <w:spacing w:after="0" w:line="132" w:lineRule="exact"/>
        <w:rPr>
          <w:sz w:val="20"/>
          <w:szCs w:val="20"/>
          <w:color w:val="auto"/>
        </w:rPr>
      </w:pPr>
    </w:p>
    <w:p>
      <w:pPr>
        <w:ind w:left="600" w:right="260" w:hanging="302"/>
        <w:spacing w:after="0" w:line="244"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ESG in Our Risk Management: </w:t>
      </w:r>
      <w:r>
        <w:rPr>
          <w:rFonts w:ascii="Arial" w:cs="Arial" w:eastAsia="Arial" w:hAnsi="Arial"/>
          <w:sz w:val="18"/>
          <w:szCs w:val="18"/>
          <w:color w:val="auto"/>
        </w:rPr>
        <w:t>Through our risk management activities, we seek to identify and assess major risks that could</w:t>
      </w:r>
      <w:r>
        <w:rPr>
          <w:rFonts w:ascii="Arial" w:cs="Arial" w:eastAsia="Arial" w:hAnsi="Arial"/>
          <w:sz w:val="18"/>
          <w:szCs w:val="18"/>
          <w:b w:val="1"/>
          <w:bCs w:val="1"/>
          <w:color w:val="auto"/>
        </w:rPr>
        <w:t xml:space="preserve"> </w:t>
      </w:r>
      <w:r>
        <w:rPr>
          <w:rFonts w:ascii="Arial" w:cs="Arial" w:eastAsia="Arial" w:hAnsi="Arial"/>
          <w:sz w:val="18"/>
          <w:szCs w:val="18"/>
          <w:color w:val="auto"/>
        </w:rPr>
        <w:t>affect our businesses. We consider ESG risks, such as the impact of climate change and human capital management, in our risk management processes. Our Company website contains information on our risk management practices, including the primary frameworks used to assess risk and our approach to business continuity and the management of cybersecurity risks.</w:t>
      </w:r>
    </w:p>
    <w:p>
      <w:pPr>
        <w:spacing w:after="0" w:line="141" w:lineRule="exact"/>
        <w:rPr>
          <w:rFonts w:ascii="Arial" w:cs="Arial" w:eastAsia="Arial" w:hAnsi="Arial"/>
          <w:sz w:val="18"/>
          <w:szCs w:val="18"/>
          <w:color w:val="auto"/>
        </w:rPr>
      </w:pPr>
    </w:p>
    <w:p>
      <w:pPr>
        <w:ind w:left="600" w:hanging="302"/>
        <w:spacing w:after="0" w:line="244"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Communication of Our ESG Practices: </w:t>
      </w:r>
      <w:r>
        <w:rPr>
          <w:rFonts w:ascii="Arial" w:cs="Arial" w:eastAsia="Arial" w:hAnsi="Arial"/>
          <w:sz w:val="18"/>
          <w:szCs w:val="18"/>
          <w:color w:val="auto"/>
        </w:rPr>
        <w:t>In response to feedback received in our annual shareholder engagement, we developed</w:t>
      </w:r>
      <w:r>
        <w:rPr>
          <w:rFonts w:ascii="Arial" w:cs="Arial" w:eastAsia="Arial" w:hAnsi="Arial"/>
          <w:sz w:val="18"/>
          <w:szCs w:val="18"/>
          <w:b w:val="1"/>
          <w:bCs w:val="1"/>
          <w:color w:val="auto"/>
        </w:rPr>
        <w:t xml:space="preserve"> </w:t>
      </w:r>
      <w:r>
        <w:rPr>
          <w:rFonts w:ascii="Arial" w:cs="Arial" w:eastAsia="Arial" w:hAnsi="Arial"/>
          <w:sz w:val="18"/>
          <w:szCs w:val="18"/>
          <w:color w:val="auto"/>
        </w:rPr>
        <w:t>an ESG landing page on our Company website to communicate our practices more effectively. The ESG page contains an overview of how ESG is incorporated into our corporate governance and business ethics, our approach to climate change, our investment management activities, our human capital management, our approach to risk management and our community engagement.</w:t>
      </w:r>
    </w:p>
    <w:p>
      <w:pPr>
        <w:spacing w:after="0" w:line="154" w:lineRule="exact"/>
        <w:rPr>
          <w:sz w:val="20"/>
          <w:szCs w:val="20"/>
          <w:color w:val="auto"/>
        </w:rPr>
      </w:pPr>
    </w:p>
    <w:p>
      <w:pPr>
        <w:ind w:right="1160" w:firstLine="299"/>
        <w:spacing w:after="0" w:line="270" w:lineRule="auto"/>
        <w:rPr>
          <w:sz w:val="20"/>
          <w:szCs w:val="20"/>
          <w:color w:val="auto"/>
        </w:rPr>
      </w:pPr>
      <w:r>
        <w:rPr>
          <w:rFonts w:ascii="Arial" w:cs="Arial" w:eastAsia="Arial" w:hAnsi="Arial"/>
          <w:sz w:val="18"/>
          <w:szCs w:val="18"/>
          <w:color w:val="auto"/>
        </w:rPr>
        <w:t>More detailed information on the practices outlined above is available on the ESG landing page on our Company website (</w:t>
      </w:r>
      <w:r>
        <w:rPr>
          <w:rFonts w:ascii="Arial" w:cs="Arial" w:eastAsia="Arial" w:hAnsi="Arial"/>
          <w:sz w:val="18"/>
          <w:szCs w:val="18"/>
          <w:i w:val="1"/>
          <w:iCs w:val="1"/>
          <w:u w:val="single" w:color="auto"/>
          <w:color w:val="0000FF"/>
        </w:rPr>
        <w:t>www.whitemountains.com/esg/</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00"/>
          </w:cols>
          <w:pgMar w:left="320" w:top="817"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Human Capital Management</w:t>
      </w:r>
    </w:p>
    <w:p>
      <w:pPr>
        <w:spacing w:after="0" w:line="189" w:lineRule="exact"/>
        <w:rPr>
          <w:sz w:val="20"/>
          <w:szCs w:val="20"/>
          <w:color w:val="auto"/>
        </w:rPr>
      </w:pPr>
    </w:p>
    <w:p>
      <w:pPr>
        <w:ind w:firstLine="299"/>
        <w:spacing w:after="0" w:line="235" w:lineRule="auto"/>
        <w:rPr>
          <w:sz w:val="20"/>
          <w:szCs w:val="20"/>
          <w:color w:val="auto"/>
        </w:rPr>
      </w:pPr>
      <w:r>
        <w:rPr>
          <w:rFonts w:ascii="Arial" w:cs="Arial" w:eastAsia="Arial" w:hAnsi="Arial"/>
          <w:sz w:val="18"/>
          <w:szCs w:val="18"/>
          <w:color w:val="auto"/>
        </w:rPr>
        <w:t>Our strength lies in our people, and we proactively support each employee’s well-being and development. Our Board receives periodic reporting on employee satisfaction and concerns and interacts with employees across our organization. We have an inclusive, team-oriented culture in which all employees are treated with respect. Under the guidelines of our Code of Business Conduct, we are firmly committed to providing equal employment opportunities. We deeply value diversity of backgrounds, experiences and ideas, which we believe fosters more engaging discussions, stronger collaboration and better company performance. In our recruiting practices at our parent company, we seek to consider a diverse slate of highly-qualified candidates for every open position. We invest in the professional development of our workforce and are committed to the long-term development of our workforce and the cultivation of our next generation of leaders. To support the advancement of our employees at the parent company, we endeavor to strengthen their qualifications by providing access to training in financial skills, effective communication and institutional knowledge. Our parent company mentoring program encourages new relationships and additional career support opportunities, and our Educational Assistance Program funds external professional development opportunities to further enhance job-related skills.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Social Responsibility</w:t>
      </w:r>
    </w:p>
    <w:p>
      <w:pPr>
        <w:spacing w:after="0" w:line="189" w:lineRule="exact"/>
        <w:rPr>
          <w:sz w:val="20"/>
          <w:szCs w:val="20"/>
          <w:color w:val="auto"/>
        </w:rPr>
      </w:pPr>
    </w:p>
    <w:p>
      <w:pPr>
        <w:ind w:right="180" w:firstLine="299"/>
        <w:spacing w:after="0"/>
        <w:rPr>
          <w:sz w:val="20"/>
          <w:szCs w:val="20"/>
          <w:color w:val="auto"/>
        </w:rPr>
      </w:pPr>
      <w:r>
        <w:rPr>
          <w:rFonts w:ascii="Arial" w:cs="Arial" w:eastAsia="Arial" w:hAnsi="Arial"/>
          <w:sz w:val="18"/>
          <w:szCs w:val="18"/>
          <w:color w:val="auto"/>
        </w:rPr>
        <w:t>White Mountains is committed to the communities in which we live and work. Our parent company Community Engagement Program follows the lead of our employees in supporting a wide range of causes through employee matching gift programs, local volunteering events, in-kind donations and our Giving with Impact initiative, where employee-sponsored charities pitch for transformational grants from White Mountains. In our local communities, we have supported a broad range of causes including environmental sustainability and conservation.</w:t>
      </w:r>
    </w:p>
    <w:p>
      <w:pPr>
        <w:spacing w:after="0" w:line="160" w:lineRule="exact"/>
        <w:rPr>
          <w:sz w:val="20"/>
          <w:szCs w:val="20"/>
          <w:color w:val="auto"/>
        </w:rPr>
      </w:pPr>
    </w:p>
    <w:p>
      <w:pPr>
        <w:ind w:right="380" w:firstLine="299"/>
        <w:spacing w:after="0" w:line="270" w:lineRule="auto"/>
        <w:rPr>
          <w:sz w:val="20"/>
          <w:szCs w:val="20"/>
          <w:color w:val="auto"/>
        </w:rPr>
      </w:pPr>
      <w:r>
        <w:rPr>
          <w:rFonts w:ascii="Arial" w:cs="Arial" w:eastAsia="Arial" w:hAnsi="Arial"/>
          <w:sz w:val="18"/>
          <w:szCs w:val="18"/>
          <w:color w:val="auto"/>
        </w:rPr>
        <w:t>More detailed information on our Community Engagement Program is available on the ESG landing page on our Company website (</w:t>
      </w:r>
      <w:r>
        <w:rPr>
          <w:rFonts w:ascii="Arial" w:cs="Arial" w:eastAsia="Arial" w:hAnsi="Arial"/>
          <w:sz w:val="18"/>
          <w:szCs w:val="18"/>
          <w:i w:val="1"/>
          <w:iCs w:val="1"/>
          <w:u w:val="single" w:color="auto"/>
          <w:color w:val="0000FF"/>
        </w:rPr>
        <w:t>www.whitemountains.com/esg/</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20"/>
          </w:cols>
          <w:pgMar w:left="320" w:top="817" w:right="35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t>VOTING SECURITIES AND PRINCIPAL HOLDERS THEREOF</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Rights of Shareholders</w:t>
      </w:r>
    </w:p>
    <w:p>
      <w:pPr>
        <w:spacing w:after="0" w:line="191" w:lineRule="exact"/>
        <w:rPr>
          <w:sz w:val="20"/>
          <w:szCs w:val="20"/>
          <w:color w:val="auto"/>
        </w:rPr>
      </w:pPr>
    </w:p>
    <w:p>
      <w:pPr>
        <w:ind w:right="20" w:firstLine="299"/>
        <w:spacing w:after="0"/>
        <w:rPr>
          <w:sz w:val="20"/>
          <w:szCs w:val="20"/>
          <w:color w:val="auto"/>
        </w:rPr>
      </w:pPr>
      <w:r>
        <w:rPr>
          <w:rFonts w:ascii="Arial" w:cs="Arial" w:eastAsia="Arial" w:hAnsi="Arial"/>
          <w:sz w:val="18"/>
          <w:szCs w:val="18"/>
          <w:color w:val="auto"/>
        </w:rPr>
        <w:t>As of March 30, 2026, there were 2,476,670 common shares outstanding. Shareholders of record of common shares shall be entitled to one vote per common share, provided that if, and so long as, the votes conferred by “Controlled” common shares (as defined below) of any person constitute ten percent (10%) or more of the votes conferred by the outstanding common shares of the Company, each outstanding common share comprised in such Controlled common shares shall confer only a fraction of a vote that would otherwise be applicable according to the following formula:</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 divided by 10)-1] divided by C</w:t>
      </w:r>
    </w:p>
    <w:p>
      <w:pPr>
        <w:spacing w:after="0" w:line="191" w:lineRule="exact"/>
        <w:rPr>
          <w:sz w:val="20"/>
          <w:szCs w:val="20"/>
          <w:color w:val="auto"/>
        </w:rPr>
      </w:pPr>
    </w:p>
    <w:p>
      <w:pPr>
        <w:ind w:right="40" w:firstLine="299"/>
        <w:spacing w:after="0" w:line="270" w:lineRule="auto"/>
        <w:rPr>
          <w:sz w:val="20"/>
          <w:szCs w:val="20"/>
          <w:color w:val="auto"/>
        </w:rPr>
      </w:pPr>
      <w:r>
        <w:rPr>
          <w:rFonts w:ascii="Arial" w:cs="Arial" w:eastAsia="Arial" w:hAnsi="Arial"/>
          <w:sz w:val="18"/>
          <w:szCs w:val="18"/>
          <w:color w:val="auto"/>
        </w:rPr>
        <w:t>Where: “T” is the aggregate number of votes conferred by all the outstanding common shares; and “C” is the number of votes conferred by the Controlled common shares of such person.</w:t>
      </w:r>
    </w:p>
    <w:p>
      <w:pPr>
        <w:spacing w:after="0" w:line="1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“Controlled” common shares in reference to any person means:</w:t>
      </w:r>
    </w:p>
    <w:p>
      <w:pPr>
        <w:spacing w:after="0" w:line="191" w:lineRule="exact"/>
        <w:rPr>
          <w:sz w:val="20"/>
          <w:szCs w:val="20"/>
          <w:color w:val="auto"/>
        </w:rPr>
      </w:pPr>
    </w:p>
    <w:p>
      <w:pPr>
        <w:ind w:left="1040" w:hanging="443"/>
        <w:spacing w:after="0" w:line="270"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common shares directly, indirectly, or constructively owned by such person within the meaning of Section 958 of the Internal Revenue Code of 1986, as amended, of the United States; and</w:t>
      </w:r>
    </w:p>
    <w:p>
      <w:pPr>
        <w:spacing w:after="0" w:line="131" w:lineRule="exact"/>
        <w:rPr>
          <w:rFonts w:ascii="Arial" w:cs="Arial" w:eastAsia="Arial" w:hAnsi="Arial"/>
          <w:sz w:val="18"/>
          <w:szCs w:val="18"/>
          <w:color w:val="auto"/>
        </w:rPr>
      </w:pPr>
    </w:p>
    <w:p>
      <w:pPr>
        <w:ind w:left="1040" w:right="60" w:hanging="443"/>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common shares directly, indirectly, or constructively owned by any person or “group” of persons within the meaning of Section 13(d)(3) of the Exchange Act and the rules and regulations promulgated thereunder; provided that this clause (ii) shall not apply to (a) any person (or any group that includes any person) that has been exempted from the provisions of this clause or (b) any person or group that the Board, by the affirmative vote of at least seventy-five percent (75%) of the entire Board, may exempt from the provisions of this clause.</w:t>
      </w:r>
    </w:p>
    <w:p>
      <w:pPr>
        <w:spacing w:after="0" w:line="160" w:lineRule="exact"/>
        <w:rPr>
          <w:sz w:val="20"/>
          <w:szCs w:val="20"/>
          <w:color w:val="auto"/>
        </w:rPr>
      </w:pPr>
    </w:p>
    <w:p>
      <w:pPr>
        <w:ind w:right="40" w:firstLine="299"/>
        <w:spacing w:after="0" w:line="244" w:lineRule="auto"/>
        <w:rPr>
          <w:sz w:val="20"/>
          <w:szCs w:val="20"/>
          <w:color w:val="auto"/>
        </w:rPr>
      </w:pPr>
      <w:r>
        <w:rPr>
          <w:rFonts w:ascii="Arial" w:cs="Arial" w:eastAsia="Arial" w:hAnsi="Arial"/>
          <w:sz w:val="18"/>
          <w:szCs w:val="18"/>
          <w:color w:val="auto"/>
        </w:rPr>
        <w:t>The limitations set forth above do not apply to any shareholder which is a “Byrne Entity” (as defined below) for any matter submitted to the vote of shareholders, except with respect to the election of directors. “Byrne Entity” means any foundation or trust established by John J. Byrne, Patrick Byrne, and any associate or affiliate of any of them (or any group of which any of them is a part), as defined under Section 13(d) of the United States Securities Exchange Act of 1934, as amended.</w:t>
      </w:r>
    </w:p>
    <w:p>
      <w:pPr>
        <w:spacing w:after="0" w:line="154" w:lineRule="exact"/>
        <w:rPr>
          <w:sz w:val="20"/>
          <w:szCs w:val="20"/>
          <w:color w:val="auto"/>
        </w:rPr>
      </w:pPr>
    </w:p>
    <w:p>
      <w:pPr>
        <w:ind w:right="200" w:firstLine="299"/>
        <w:spacing w:after="0"/>
        <w:rPr>
          <w:sz w:val="20"/>
          <w:szCs w:val="20"/>
          <w:color w:val="auto"/>
        </w:rPr>
      </w:pPr>
      <w:r>
        <w:rPr>
          <w:rFonts w:ascii="Arial" w:cs="Arial" w:eastAsia="Arial" w:hAnsi="Arial"/>
          <w:sz w:val="18"/>
          <w:szCs w:val="18"/>
          <w:color w:val="auto"/>
        </w:rPr>
        <w:t>If, as a result of giving effect to the foregoing provisions or otherwise, the votes conferred by the Controlled common shares of any person would otherwise represent 10% or more of the votes conferred by all the outstanding common shares, the votes conferred by the Controlled common shares of such person shall be reduced in accordance with the foregoing provisions. Such process shall be repeated until the votes conferred by the Controlled common shares of each person represent less than 10% of the votes conferred by all common shares.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191" w:lineRule="exact"/>
        <w:rPr>
          <w:sz w:val="20"/>
          <w:szCs w:val="20"/>
          <w:color w:val="auto"/>
        </w:rPr>
      </w:pPr>
    </w:p>
    <w:p>
      <w:pPr>
        <w:ind w:right="120" w:firstLine="299"/>
        <w:spacing w:after="0" w:line="270" w:lineRule="auto"/>
        <w:rPr>
          <w:sz w:val="20"/>
          <w:szCs w:val="20"/>
          <w:color w:val="auto"/>
        </w:rPr>
      </w:pPr>
      <w:r>
        <w:rPr>
          <w:rFonts w:ascii="Arial" w:cs="Arial" w:eastAsia="Arial" w:hAnsi="Arial"/>
          <w:sz w:val="18"/>
          <w:szCs w:val="18"/>
          <w:color w:val="auto"/>
        </w:rPr>
        <w:t>To the knowledge of the Company, there was no person or entity beneficially owning more than 5% of the common shares outstanding as of March 30, 2026, except as shown below.</w:t>
      </w:r>
    </w:p>
    <w:p>
      <w:pPr>
        <w:spacing w:after="0" w:line="133" w:lineRule="exact"/>
        <w:rPr>
          <w:sz w:val="20"/>
          <w:szCs w:val="20"/>
          <w:color w:val="auto"/>
        </w:rPr>
      </w:pPr>
    </w:p>
    <w:tbl>
      <w:tblPr>
        <w:tblLayout w:type="fixed"/>
        <w:tblInd w:w="740" w:type="dxa"/>
        <w:tblCellMar>
          <w:top w:w="0" w:type="dxa"/>
          <w:left w:w="0" w:type="dxa"/>
          <w:bottom w:w="0" w:type="dxa"/>
          <w:right w:w="0" w:type="dxa"/>
        </w:tblCellMar>
      </w:tblPr>
      <w:tr>
        <w:trPr>
          <w:trHeight w:val="195"/>
        </w:trPr>
        <w:tc>
          <w:tcPr>
            <w:tcW w:w="6320" w:type="dxa"/>
            <w:vAlign w:val="bottom"/>
            <w:tcBorders>
              <w:top w:val="single" w:sz="8" w:color="auto"/>
            </w:tcBorders>
          </w:tcPr>
          <w:p>
            <w:pPr>
              <w:spacing w:after="0"/>
              <w:rPr>
                <w:sz w:val="16"/>
                <w:szCs w:val="16"/>
                <w:color w:val="auto"/>
              </w:rPr>
            </w:pPr>
          </w:p>
        </w:tc>
        <w:tc>
          <w:tcPr>
            <w:tcW w:w="2420" w:type="dxa"/>
            <w:vAlign w:val="bottom"/>
            <w:tcBorders>
              <w:top w:val="single" w:sz="8" w:color="auto"/>
            </w:tcBorders>
          </w:tcPr>
          <w:p>
            <w:pPr>
              <w:ind w:left="1120"/>
              <w:spacing w:after="0"/>
              <w:rPr>
                <w:sz w:val="20"/>
                <w:szCs w:val="20"/>
                <w:color w:val="auto"/>
              </w:rPr>
            </w:pPr>
            <w:r>
              <w:rPr>
                <w:rFonts w:ascii="Arial" w:cs="Arial" w:eastAsia="Arial" w:hAnsi="Arial"/>
                <w:sz w:val="17"/>
                <w:szCs w:val="17"/>
                <w:color w:val="auto"/>
              </w:rPr>
              <w:t>Amount of</w:t>
            </w:r>
          </w:p>
        </w:tc>
        <w:tc>
          <w:tcPr>
            <w:tcW w:w="1040" w:type="dxa"/>
            <w:vAlign w:val="bottom"/>
            <w:tcBorders>
              <w:top w:val="single" w:sz="8" w:color="auto"/>
            </w:tcBorders>
          </w:tcPr>
          <w:p>
            <w:pPr>
              <w:spacing w:after="0"/>
              <w:rPr>
                <w:sz w:val="16"/>
                <w:szCs w:val="16"/>
                <w:color w:val="auto"/>
              </w:rPr>
            </w:pPr>
          </w:p>
        </w:tc>
      </w:tr>
      <w:tr>
        <w:trPr>
          <w:trHeight w:val="187"/>
        </w:trPr>
        <w:tc>
          <w:tcPr>
            <w:tcW w:w="6320" w:type="dxa"/>
            <w:vAlign w:val="bottom"/>
          </w:tcPr>
          <w:p>
            <w:pPr>
              <w:spacing w:after="0"/>
              <w:rPr>
                <w:sz w:val="16"/>
                <w:szCs w:val="16"/>
                <w:color w:val="auto"/>
              </w:rPr>
            </w:pPr>
          </w:p>
        </w:tc>
        <w:tc>
          <w:tcPr>
            <w:tcW w:w="2420" w:type="dxa"/>
            <w:vAlign w:val="bottom"/>
          </w:tcPr>
          <w:p>
            <w:pPr>
              <w:ind w:left="1140"/>
              <w:spacing w:after="0" w:line="187" w:lineRule="exact"/>
              <w:rPr>
                <w:sz w:val="20"/>
                <w:szCs w:val="20"/>
                <w:color w:val="auto"/>
              </w:rPr>
            </w:pPr>
            <w:r>
              <w:rPr>
                <w:rFonts w:ascii="Arial" w:cs="Arial" w:eastAsia="Arial" w:hAnsi="Arial"/>
                <w:sz w:val="17"/>
                <w:szCs w:val="17"/>
                <w:color w:val="auto"/>
              </w:rPr>
              <w:t>Beneficial</w:t>
            </w:r>
          </w:p>
        </w:tc>
        <w:tc>
          <w:tcPr>
            <w:tcW w:w="1040" w:type="dxa"/>
            <w:vAlign w:val="bottom"/>
          </w:tcPr>
          <w:p>
            <w:pPr>
              <w:jc w:val="right"/>
              <w:ind w:right="77"/>
              <w:spacing w:after="0" w:line="187" w:lineRule="exact"/>
              <w:rPr>
                <w:sz w:val="20"/>
                <w:szCs w:val="20"/>
                <w:color w:val="auto"/>
              </w:rPr>
            </w:pPr>
            <w:r>
              <w:rPr>
                <w:rFonts w:ascii="Arial" w:cs="Arial" w:eastAsia="Arial" w:hAnsi="Arial"/>
                <w:sz w:val="17"/>
                <w:szCs w:val="17"/>
                <w:color w:val="auto"/>
              </w:rPr>
              <w:t> Percent of</w:t>
            </w:r>
          </w:p>
        </w:tc>
      </w:tr>
      <w:tr>
        <w:trPr>
          <w:trHeight w:val="203"/>
        </w:trPr>
        <w:tc>
          <w:tcPr>
            <w:tcW w:w="6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Name and Address of Beneficial Owner</w:t>
            </w:r>
          </w:p>
        </w:tc>
        <w:tc>
          <w:tcPr>
            <w:tcW w:w="2420" w:type="dxa"/>
            <w:vAlign w:val="bottom"/>
            <w:tcBorders>
              <w:bottom w:val="single" w:sz="8" w:color="auto"/>
            </w:tcBorders>
          </w:tcPr>
          <w:p>
            <w:pPr>
              <w:ind w:left="1120"/>
              <w:spacing w:after="0"/>
              <w:rPr>
                <w:sz w:val="20"/>
                <w:szCs w:val="20"/>
                <w:color w:val="auto"/>
              </w:rPr>
            </w:pPr>
            <w:r>
              <w:rPr>
                <w:rFonts w:ascii="Arial" w:cs="Arial" w:eastAsia="Arial" w:hAnsi="Arial"/>
                <w:sz w:val="17"/>
                <w:szCs w:val="17"/>
                <w:color w:val="auto"/>
              </w:rPr>
              <w:t>Ownership</w:t>
            </w:r>
          </w:p>
        </w:tc>
        <w:tc>
          <w:tcPr>
            <w:tcW w:w="104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color w:val="auto"/>
              </w:rPr>
              <w:t>Class</w:t>
            </w:r>
          </w:p>
        </w:tc>
      </w:tr>
      <w:tr>
        <w:trPr>
          <w:trHeight w:val="374"/>
        </w:trPr>
        <w:tc>
          <w:tcPr>
            <w:tcW w:w="6320" w:type="dxa"/>
            <w:vAlign w:val="bottom"/>
          </w:tcPr>
          <w:p>
            <w:pPr>
              <w:spacing w:after="0"/>
              <w:rPr>
                <w:sz w:val="20"/>
                <w:szCs w:val="20"/>
                <w:color w:val="auto"/>
              </w:rPr>
            </w:pPr>
            <w:r>
              <w:rPr>
                <w:rFonts w:ascii="Arial" w:cs="Arial" w:eastAsia="Arial" w:hAnsi="Arial"/>
                <w:sz w:val="17"/>
                <w:szCs w:val="17"/>
                <w:color w:val="auto"/>
              </w:rPr>
              <w:t>Dimensional Fund Advisors LP - 6300 Bee Cave Rd., Austin, TX 78746</w:t>
            </w:r>
          </w:p>
        </w:tc>
        <w:tc>
          <w:tcPr>
            <w:tcW w:w="2420" w:type="dxa"/>
            <w:vAlign w:val="bottom"/>
          </w:tcPr>
          <w:p>
            <w:pPr>
              <w:ind w:left="1400"/>
              <w:spacing w:after="0"/>
              <w:rPr>
                <w:sz w:val="20"/>
                <w:szCs w:val="20"/>
                <w:color w:val="auto"/>
              </w:rPr>
            </w:pPr>
            <w:r>
              <w:rPr>
                <w:rFonts w:ascii="Arial" w:cs="Arial" w:eastAsia="Arial" w:hAnsi="Arial"/>
                <w:sz w:val="17"/>
                <w:szCs w:val="17"/>
                <w:color w:val="auto"/>
              </w:rPr>
              <w:t>161,957 (a)</w:t>
            </w:r>
          </w:p>
        </w:tc>
        <w:tc>
          <w:tcPr>
            <w:tcW w:w="1040" w:type="dxa"/>
            <w:vAlign w:val="bottom"/>
          </w:tcPr>
          <w:p>
            <w:pPr>
              <w:jc w:val="right"/>
              <w:spacing w:after="0"/>
              <w:rPr>
                <w:sz w:val="20"/>
                <w:szCs w:val="20"/>
                <w:color w:val="auto"/>
              </w:rPr>
            </w:pPr>
            <w:r>
              <w:rPr>
                <w:rFonts w:ascii="Arial" w:cs="Arial" w:eastAsia="Arial" w:hAnsi="Arial"/>
                <w:sz w:val="17"/>
                <w:szCs w:val="17"/>
                <w:color w:val="auto"/>
              </w:rPr>
              <w:t>6.5 %</w:t>
            </w:r>
          </w:p>
        </w:tc>
      </w:tr>
      <w:tr>
        <w:trPr>
          <w:trHeight w:val="187"/>
        </w:trPr>
        <w:tc>
          <w:tcPr>
            <w:tcW w:w="6320" w:type="dxa"/>
            <w:vAlign w:val="bottom"/>
          </w:tcPr>
          <w:p>
            <w:pPr>
              <w:spacing w:after="0" w:line="187" w:lineRule="exact"/>
              <w:rPr>
                <w:sz w:val="20"/>
                <w:szCs w:val="20"/>
                <w:color w:val="auto"/>
              </w:rPr>
            </w:pPr>
            <w:r>
              <w:rPr>
                <w:rFonts w:ascii="Arial" w:cs="Arial" w:eastAsia="Arial" w:hAnsi="Arial"/>
                <w:sz w:val="17"/>
                <w:szCs w:val="17"/>
                <w:color w:val="auto"/>
              </w:rPr>
              <w:t>Neuberger Berman Group LLC -</w:t>
            </w:r>
          </w:p>
        </w:tc>
        <w:tc>
          <w:tcPr>
            <w:tcW w:w="2420" w:type="dxa"/>
            <w:vAlign w:val="bottom"/>
          </w:tcPr>
          <w:p>
            <w:pPr>
              <w:ind w:left="1400"/>
              <w:spacing w:after="0" w:line="187" w:lineRule="exact"/>
              <w:rPr>
                <w:sz w:val="20"/>
                <w:szCs w:val="20"/>
                <w:color w:val="auto"/>
              </w:rPr>
            </w:pPr>
            <w:r>
              <w:rPr>
                <w:rFonts w:ascii="Arial" w:cs="Arial" w:eastAsia="Arial" w:hAnsi="Arial"/>
                <w:sz w:val="17"/>
                <w:szCs w:val="17"/>
                <w:color w:val="auto"/>
              </w:rPr>
              <w:t>129,624 (b)</w:t>
            </w:r>
          </w:p>
        </w:tc>
        <w:tc>
          <w:tcPr>
            <w:tcW w:w="1040" w:type="dxa"/>
            <w:vAlign w:val="bottom"/>
          </w:tcPr>
          <w:p>
            <w:pPr>
              <w:jc w:val="right"/>
              <w:spacing w:after="0" w:line="187" w:lineRule="exact"/>
              <w:rPr>
                <w:sz w:val="20"/>
                <w:szCs w:val="20"/>
                <w:color w:val="auto"/>
              </w:rPr>
            </w:pPr>
            <w:r>
              <w:rPr>
                <w:rFonts w:ascii="Arial" w:cs="Arial" w:eastAsia="Arial" w:hAnsi="Arial"/>
                <w:sz w:val="17"/>
                <w:szCs w:val="17"/>
                <w:color w:val="auto"/>
              </w:rPr>
              <w:t>5.2 %</w:t>
            </w:r>
          </w:p>
        </w:tc>
      </w:tr>
      <w:tr>
        <w:trPr>
          <w:trHeight w:val="203"/>
        </w:trPr>
        <w:tc>
          <w:tcPr>
            <w:tcW w:w="6320" w:type="dxa"/>
            <w:vAlign w:val="bottom"/>
            <w:tcBorders>
              <w:bottom w:val="single" w:sz="8" w:color="auto"/>
            </w:tcBorders>
          </w:tcPr>
          <w:p>
            <w:pPr>
              <w:ind w:left="600"/>
              <w:spacing w:after="0"/>
              <w:rPr>
                <w:sz w:val="20"/>
                <w:szCs w:val="20"/>
                <w:color w:val="auto"/>
              </w:rPr>
            </w:pPr>
            <w:r>
              <w:rPr>
                <w:rFonts w:ascii="Arial" w:cs="Arial" w:eastAsia="Arial" w:hAnsi="Arial"/>
                <w:sz w:val="17"/>
                <w:szCs w:val="17"/>
                <w:color w:val="auto"/>
              </w:rPr>
              <w:t>1290 Avenue of the Americas, New York, NY 10104</w:t>
            </w:r>
          </w:p>
        </w:tc>
        <w:tc>
          <w:tcPr>
            <w:tcW w:w="2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bl>
    <w:p>
      <w:pPr>
        <w:spacing w:after="0" w:line="182" w:lineRule="exact"/>
        <w:rPr>
          <w:sz w:val="20"/>
          <w:szCs w:val="20"/>
          <w:color w:val="auto"/>
        </w:rPr>
      </w:pPr>
    </w:p>
    <w:p>
      <w:pPr>
        <w:ind w:left="1120" w:right="920" w:hanging="299"/>
        <w:spacing w:after="0"/>
        <w:tabs>
          <w:tab w:leader="none" w:pos="11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Based on the most recently available Schedule 13G/A filed with the Securities and Exchange Commission on February 9, 2024, by and on behalf of Dimensional Fund Advisors LP. The Schedule 13G/A contained information as of December 31, 2023 and may not reflect current holdings of the Company's stock.</w:t>
      </w:r>
    </w:p>
    <w:p>
      <w:pPr>
        <w:spacing w:after="0" w:line="126" w:lineRule="exact"/>
        <w:rPr>
          <w:rFonts w:ascii="Arial" w:cs="Arial" w:eastAsia="Arial" w:hAnsi="Arial"/>
          <w:sz w:val="14"/>
          <w:szCs w:val="14"/>
          <w:color w:val="auto"/>
        </w:rPr>
      </w:pPr>
    </w:p>
    <w:p>
      <w:pPr>
        <w:ind w:left="1120" w:right="1060" w:hanging="299"/>
        <w:spacing w:after="0"/>
        <w:tabs>
          <w:tab w:leader="none" w:pos="11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Based on the most recently available Schedule 13G filed with the Securities and Exchange Commission on February 5, 2026, by and on behalf of Neuberger Berman Group LLC. The Schedule 13G contained information as of December 31, 2025 and may not reflect current holdings of the Company's stock.</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Management</w:t>
      </w:r>
    </w:p>
    <w:p>
      <w:pPr>
        <w:spacing w:after="0" w:line="179" w:lineRule="exact"/>
        <w:rPr>
          <w:sz w:val="20"/>
          <w:szCs w:val="20"/>
          <w:color w:val="auto"/>
        </w:rPr>
      </w:pPr>
    </w:p>
    <w:p>
      <w:pPr>
        <w:ind w:right="320" w:firstLine="299"/>
        <w:spacing w:after="0" w:line="270" w:lineRule="auto"/>
        <w:rPr>
          <w:sz w:val="20"/>
          <w:szCs w:val="20"/>
          <w:color w:val="auto"/>
        </w:rPr>
      </w:pPr>
      <w:r>
        <w:rPr>
          <w:rFonts w:ascii="Arial" w:cs="Arial" w:eastAsia="Arial" w:hAnsi="Arial"/>
          <w:sz w:val="18"/>
          <w:szCs w:val="18"/>
          <w:color w:val="auto"/>
        </w:rPr>
        <w:t>The following table sets forth, as of March 30, 2026, beneficial ownership of common shares by each director, the Named Executive Officers (as defined on page 33) and all other executive officers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97155</wp:posOffset>
            </wp:positionV>
            <wp:extent cx="628205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82055" cy="7620"/>
                    </a:xfrm>
                    <a:prstGeom prst="rect">
                      <a:avLst/>
                    </a:prstGeom>
                    <a:noFill/>
                  </pic:spPr>
                </pic:pic>
              </a:graphicData>
            </a:graphic>
          </wp:anchor>
        </w:drawing>
      </w:r>
    </w:p>
    <w:p>
      <w:pPr>
        <w:spacing w:after="0" w:line="178" w:lineRule="exact"/>
        <w:rPr>
          <w:sz w:val="20"/>
          <w:szCs w:val="20"/>
          <w:color w:val="auto"/>
        </w:rPr>
      </w:pPr>
    </w:p>
    <w:tbl>
      <w:tblPr>
        <w:tblLayout w:type="fixed"/>
        <w:tblInd w:w="680" w:type="dxa"/>
        <w:tblCellMar>
          <w:top w:w="0" w:type="dxa"/>
          <w:left w:w="0" w:type="dxa"/>
          <w:bottom w:w="0" w:type="dxa"/>
          <w:right w:w="0" w:type="dxa"/>
        </w:tblCellMar>
      </w:tblPr>
      <w:tr>
        <w:trPr>
          <w:trHeight w:val="218"/>
        </w:trPr>
        <w:tc>
          <w:tcPr>
            <w:tcW w:w="5560" w:type="dxa"/>
            <w:vAlign w:val="bottom"/>
          </w:tcPr>
          <w:p>
            <w:pPr>
              <w:spacing w:after="0"/>
              <w:rPr>
                <w:sz w:val="18"/>
                <w:szCs w:val="18"/>
                <w:color w:val="auto"/>
              </w:rPr>
            </w:pPr>
          </w:p>
        </w:tc>
        <w:tc>
          <w:tcPr>
            <w:tcW w:w="4340" w:type="dxa"/>
            <w:vAlign w:val="bottom"/>
            <w:gridSpan w:val="2"/>
          </w:tcPr>
          <w:p>
            <w:pPr>
              <w:jc w:val="right"/>
              <w:ind w:right="1297"/>
              <w:spacing w:after="0"/>
              <w:rPr>
                <w:sz w:val="20"/>
                <w:szCs w:val="20"/>
                <w:color w:val="auto"/>
              </w:rPr>
            </w:pPr>
            <w:r>
              <w:rPr>
                <w:rFonts w:ascii="Arial" w:cs="Arial" w:eastAsia="Arial" w:hAnsi="Arial"/>
                <w:sz w:val="17"/>
                <w:szCs w:val="17"/>
                <w:color w:val="auto"/>
              </w:rPr>
              <w:t>Amount of Ownership</w:t>
            </w:r>
          </w:p>
        </w:tc>
        <w:tc>
          <w:tcPr>
            <w:tcW w:w="0" w:type="dxa"/>
            <w:vAlign w:val="bottom"/>
          </w:tcPr>
          <w:p>
            <w:pPr>
              <w:spacing w:after="0"/>
              <w:rPr>
                <w:sz w:val="1"/>
                <w:szCs w:val="1"/>
                <w:color w:val="auto"/>
              </w:rPr>
            </w:pPr>
          </w:p>
        </w:tc>
      </w:tr>
      <w:tr>
        <w:trPr>
          <w:trHeight w:val="35"/>
        </w:trPr>
        <w:tc>
          <w:tcPr>
            <w:tcW w:w="5560" w:type="dxa"/>
            <w:vAlign w:val="bottom"/>
            <w:vMerge w:val="restart"/>
          </w:tcPr>
          <w:p>
            <w:pPr>
              <w:spacing w:after="0"/>
              <w:rPr>
                <w:sz w:val="20"/>
                <w:szCs w:val="20"/>
                <w:color w:val="auto"/>
              </w:rPr>
            </w:pPr>
            <w:r>
              <w:rPr>
                <w:rFonts w:ascii="Arial" w:cs="Arial" w:eastAsia="Arial" w:hAnsi="Arial"/>
                <w:sz w:val="17"/>
                <w:szCs w:val="17"/>
                <w:color w:val="auto"/>
              </w:rPr>
              <w:t>Name of Beneficial Owner</w:t>
            </w:r>
          </w:p>
        </w:tc>
        <w:tc>
          <w:tcPr>
            <w:tcW w:w="232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560" w:type="dxa"/>
            <w:vAlign w:val="bottom"/>
            <w:vMerge w:val="continue"/>
          </w:tcPr>
          <w:p>
            <w:pPr>
              <w:spacing w:after="0"/>
              <w:rPr>
                <w:sz w:val="21"/>
                <w:szCs w:val="21"/>
                <w:color w:val="auto"/>
              </w:rPr>
            </w:pPr>
          </w:p>
        </w:tc>
        <w:tc>
          <w:tcPr>
            <w:tcW w:w="2320" w:type="dxa"/>
            <w:vAlign w:val="bottom"/>
          </w:tcPr>
          <w:p>
            <w:pPr>
              <w:jc w:val="right"/>
              <w:ind w:right="377"/>
              <w:spacing w:after="0"/>
              <w:rPr>
                <w:sz w:val="20"/>
                <w:szCs w:val="20"/>
                <w:color w:val="auto"/>
              </w:rPr>
            </w:pPr>
            <w:r>
              <w:rPr>
                <w:rFonts w:ascii="Arial" w:cs="Arial" w:eastAsia="Arial" w:hAnsi="Arial"/>
                <w:sz w:val="17"/>
                <w:szCs w:val="17"/>
                <w:color w:val="auto"/>
              </w:rPr>
              <w:t>                   Beneficially (a)</w:t>
            </w:r>
          </w:p>
        </w:tc>
        <w:tc>
          <w:tcPr>
            <w:tcW w:w="2020" w:type="dxa"/>
            <w:vAlign w:val="bottom"/>
          </w:tcPr>
          <w:p>
            <w:pPr>
              <w:jc w:val="right"/>
              <w:ind w:right="57"/>
              <w:spacing w:after="0"/>
              <w:rPr>
                <w:sz w:val="20"/>
                <w:szCs w:val="20"/>
                <w:color w:val="auto"/>
              </w:rPr>
            </w:pPr>
            <w:r>
              <w:rPr>
                <w:rFonts w:ascii="Arial" w:cs="Arial" w:eastAsia="Arial" w:hAnsi="Arial"/>
                <w:sz w:val="17"/>
                <w:szCs w:val="17"/>
                <w:color w:val="auto"/>
              </w:rPr>
              <w:t>       Economically (b)</w:t>
            </w:r>
          </w:p>
        </w:tc>
        <w:tc>
          <w:tcPr>
            <w:tcW w:w="0" w:type="dxa"/>
            <w:vAlign w:val="bottom"/>
          </w:tcPr>
          <w:p>
            <w:pPr>
              <w:spacing w:after="0"/>
              <w:rPr>
                <w:sz w:val="1"/>
                <w:szCs w:val="1"/>
                <w:color w:val="auto"/>
              </w:rPr>
            </w:pPr>
          </w:p>
        </w:tc>
      </w:tr>
      <w:tr>
        <w:trPr>
          <w:trHeight w:val="35"/>
        </w:trPr>
        <w:tc>
          <w:tcPr>
            <w:tcW w:w="556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5560" w:type="dxa"/>
            <w:vAlign w:val="bottom"/>
          </w:tcPr>
          <w:p>
            <w:pPr>
              <w:spacing w:after="0" w:line="163" w:lineRule="exact"/>
              <w:rPr>
                <w:sz w:val="20"/>
                <w:szCs w:val="20"/>
                <w:color w:val="auto"/>
              </w:rPr>
            </w:pPr>
            <w:r>
              <w:rPr>
                <w:rFonts w:ascii="Arial" w:cs="Arial" w:eastAsia="Arial" w:hAnsi="Arial"/>
                <w:sz w:val="17"/>
                <w:szCs w:val="17"/>
                <w:color w:val="auto"/>
              </w:rPr>
              <w:t>Liam P. Caffrey</w:t>
            </w:r>
          </w:p>
        </w:tc>
        <w:tc>
          <w:tcPr>
            <w:tcW w:w="2320" w:type="dxa"/>
            <w:vAlign w:val="bottom"/>
          </w:tcPr>
          <w:p>
            <w:pPr>
              <w:jc w:val="right"/>
              <w:ind w:right="457"/>
              <w:spacing w:after="0" w:line="163" w:lineRule="exact"/>
              <w:rPr>
                <w:sz w:val="20"/>
                <w:szCs w:val="20"/>
                <w:color w:val="auto"/>
              </w:rPr>
            </w:pPr>
            <w:r>
              <w:rPr>
                <w:rFonts w:ascii="Arial" w:cs="Arial" w:eastAsia="Arial" w:hAnsi="Arial"/>
                <w:sz w:val="17"/>
                <w:szCs w:val="17"/>
                <w:color w:val="auto"/>
              </w:rPr>
              <w:t>5,316</w:t>
            </w:r>
          </w:p>
        </w:tc>
        <w:tc>
          <w:tcPr>
            <w:tcW w:w="2020" w:type="dxa"/>
            <w:vAlign w:val="bottom"/>
          </w:tcPr>
          <w:p>
            <w:pPr>
              <w:jc w:val="right"/>
              <w:ind w:right="217"/>
              <w:spacing w:after="0" w:line="163" w:lineRule="exact"/>
              <w:rPr>
                <w:sz w:val="20"/>
                <w:szCs w:val="20"/>
                <w:color w:val="auto"/>
              </w:rPr>
            </w:pPr>
            <w:r>
              <w:rPr>
                <w:rFonts w:ascii="Arial" w:cs="Arial" w:eastAsia="Arial" w:hAnsi="Arial"/>
                <w:sz w:val="17"/>
                <w:szCs w:val="17"/>
                <w:color w:val="auto"/>
              </w:rPr>
              <w:t>8,966</w:t>
            </w:r>
          </w:p>
        </w:tc>
        <w:tc>
          <w:tcPr>
            <w:tcW w:w="0" w:type="dxa"/>
            <w:vAlign w:val="bottom"/>
          </w:tcPr>
          <w:p>
            <w:pPr>
              <w:spacing w:after="0"/>
              <w:rPr>
                <w:sz w:val="1"/>
                <w:szCs w:val="1"/>
                <w:color w:val="auto"/>
              </w:rPr>
            </w:pPr>
          </w:p>
        </w:tc>
      </w:tr>
      <w:tr>
        <w:trPr>
          <w:trHeight w:val="187"/>
        </w:trPr>
        <w:tc>
          <w:tcPr>
            <w:tcW w:w="5560" w:type="dxa"/>
            <w:vAlign w:val="bottom"/>
          </w:tcPr>
          <w:p>
            <w:pPr>
              <w:spacing w:after="0" w:line="187" w:lineRule="exact"/>
              <w:rPr>
                <w:sz w:val="20"/>
                <w:szCs w:val="20"/>
                <w:color w:val="auto"/>
              </w:rPr>
            </w:pPr>
            <w:r>
              <w:rPr>
                <w:rFonts w:ascii="Arial" w:cs="Arial" w:eastAsia="Arial" w:hAnsi="Arial"/>
                <w:sz w:val="17"/>
                <w:szCs w:val="17"/>
                <w:color w:val="auto"/>
              </w:rPr>
              <w:t>Reid T. Campbell</w:t>
            </w:r>
          </w:p>
        </w:tc>
        <w:tc>
          <w:tcPr>
            <w:tcW w:w="2320" w:type="dxa"/>
            <w:vAlign w:val="bottom"/>
          </w:tcPr>
          <w:p>
            <w:pPr>
              <w:jc w:val="right"/>
              <w:ind w:right="457"/>
              <w:spacing w:after="0" w:line="187" w:lineRule="exact"/>
              <w:rPr>
                <w:sz w:val="20"/>
                <w:szCs w:val="20"/>
                <w:color w:val="auto"/>
              </w:rPr>
            </w:pPr>
            <w:r>
              <w:rPr>
                <w:rFonts w:ascii="Arial" w:cs="Arial" w:eastAsia="Arial" w:hAnsi="Arial"/>
                <w:sz w:val="17"/>
                <w:szCs w:val="17"/>
                <w:color w:val="auto"/>
              </w:rPr>
              <w:t>10,559</w:t>
            </w:r>
          </w:p>
        </w:tc>
        <w:tc>
          <w:tcPr>
            <w:tcW w:w="2020" w:type="dxa"/>
            <w:vAlign w:val="bottom"/>
          </w:tcPr>
          <w:p>
            <w:pPr>
              <w:jc w:val="right"/>
              <w:ind w:right="217"/>
              <w:spacing w:after="0" w:line="187" w:lineRule="exact"/>
              <w:rPr>
                <w:sz w:val="20"/>
                <w:szCs w:val="20"/>
                <w:color w:val="auto"/>
              </w:rPr>
            </w:pPr>
            <w:r>
              <w:rPr>
                <w:rFonts w:ascii="Arial" w:cs="Arial" w:eastAsia="Arial" w:hAnsi="Arial"/>
                <w:sz w:val="17"/>
                <w:szCs w:val="17"/>
                <w:color w:val="auto"/>
              </w:rPr>
              <w:t>10,559</w:t>
            </w:r>
          </w:p>
        </w:tc>
        <w:tc>
          <w:tcPr>
            <w:tcW w:w="0" w:type="dxa"/>
            <w:vAlign w:val="bottom"/>
          </w:tcPr>
          <w:p>
            <w:pPr>
              <w:spacing w:after="0"/>
              <w:rPr>
                <w:sz w:val="1"/>
                <w:szCs w:val="1"/>
                <w:color w:val="auto"/>
              </w:rPr>
            </w:pPr>
          </w:p>
        </w:tc>
      </w:tr>
      <w:tr>
        <w:trPr>
          <w:trHeight w:val="187"/>
        </w:trPr>
        <w:tc>
          <w:tcPr>
            <w:tcW w:w="5560" w:type="dxa"/>
            <w:vAlign w:val="bottom"/>
          </w:tcPr>
          <w:p>
            <w:pPr>
              <w:spacing w:after="0" w:line="187" w:lineRule="exact"/>
              <w:rPr>
                <w:sz w:val="20"/>
                <w:szCs w:val="20"/>
                <w:color w:val="auto"/>
              </w:rPr>
            </w:pPr>
            <w:r>
              <w:rPr>
                <w:rFonts w:ascii="Arial" w:cs="Arial" w:eastAsia="Arial" w:hAnsi="Arial"/>
                <w:sz w:val="17"/>
                <w:szCs w:val="17"/>
                <w:color w:val="auto"/>
              </w:rPr>
              <w:t>Peter M. Carlson</w:t>
            </w:r>
          </w:p>
        </w:tc>
        <w:tc>
          <w:tcPr>
            <w:tcW w:w="2320" w:type="dxa"/>
            <w:vAlign w:val="bottom"/>
          </w:tcPr>
          <w:p>
            <w:pPr>
              <w:jc w:val="right"/>
              <w:ind w:right="457"/>
              <w:spacing w:after="0" w:line="187" w:lineRule="exact"/>
              <w:rPr>
                <w:sz w:val="20"/>
                <w:szCs w:val="20"/>
                <w:color w:val="auto"/>
              </w:rPr>
            </w:pPr>
            <w:r>
              <w:rPr>
                <w:rFonts w:ascii="Arial" w:cs="Arial" w:eastAsia="Arial" w:hAnsi="Arial"/>
                <w:sz w:val="17"/>
                <w:szCs w:val="17"/>
                <w:color w:val="auto"/>
              </w:rPr>
              <w:t>717</w:t>
            </w:r>
          </w:p>
        </w:tc>
        <w:tc>
          <w:tcPr>
            <w:tcW w:w="2020" w:type="dxa"/>
            <w:vAlign w:val="bottom"/>
          </w:tcPr>
          <w:p>
            <w:pPr>
              <w:jc w:val="right"/>
              <w:ind w:right="217"/>
              <w:spacing w:after="0" w:line="187" w:lineRule="exact"/>
              <w:rPr>
                <w:sz w:val="20"/>
                <w:szCs w:val="20"/>
                <w:color w:val="auto"/>
              </w:rPr>
            </w:pPr>
            <w:r>
              <w:rPr>
                <w:rFonts w:ascii="Arial" w:cs="Arial" w:eastAsia="Arial" w:hAnsi="Arial"/>
                <w:sz w:val="17"/>
                <w:szCs w:val="17"/>
                <w:color w:val="auto"/>
              </w:rPr>
              <w:t>717</w:t>
            </w:r>
          </w:p>
        </w:tc>
        <w:tc>
          <w:tcPr>
            <w:tcW w:w="0" w:type="dxa"/>
            <w:vAlign w:val="bottom"/>
          </w:tcPr>
          <w:p>
            <w:pPr>
              <w:spacing w:after="0"/>
              <w:rPr>
                <w:sz w:val="1"/>
                <w:szCs w:val="1"/>
                <w:color w:val="auto"/>
              </w:rPr>
            </w:pPr>
          </w:p>
        </w:tc>
      </w:tr>
      <w:tr>
        <w:trPr>
          <w:trHeight w:val="187"/>
        </w:trPr>
        <w:tc>
          <w:tcPr>
            <w:tcW w:w="5560" w:type="dxa"/>
            <w:vAlign w:val="bottom"/>
          </w:tcPr>
          <w:p>
            <w:pPr>
              <w:spacing w:after="0" w:line="187" w:lineRule="exact"/>
              <w:rPr>
                <w:sz w:val="20"/>
                <w:szCs w:val="20"/>
                <w:color w:val="auto"/>
              </w:rPr>
            </w:pPr>
            <w:r>
              <w:rPr>
                <w:rFonts w:ascii="Arial" w:cs="Arial" w:eastAsia="Arial" w:hAnsi="Arial"/>
                <w:sz w:val="17"/>
                <w:szCs w:val="17"/>
                <w:color w:val="auto"/>
              </w:rPr>
              <w:t>Mary C. Choksi</w:t>
            </w:r>
          </w:p>
        </w:tc>
        <w:tc>
          <w:tcPr>
            <w:tcW w:w="2320" w:type="dxa"/>
            <w:vAlign w:val="bottom"/>
          </w:tcPr>
          <w:p>
            <w:pPr>
              <w:jc w:val="right"/>
              <w:ind w:right="457"/>
              <w:spacing w:after="0" w:line="187" w:lineRule="exact"/>
              <w:rPr>
                <w:sz w:val="20"/>
                <w:szCs w:val="20"/>
                <w:color w:val="auto"/>
              </w:rPr>
            </w:pPr>
            <w:r>
              <w:rPr>
                <w:rFonts w:ascii="Arial" w:cs="Arial" w:eastAsia="Arial" w:hAnsi="Arial"/>
                <w:sz w:val="17"/>
                <w:szCs w:val="17"/>
                <w:color w:val="auto"/>
              </w:rPr>
              <w:t>1,858</w:t>
            </w:r>
          </w:p>
        </w:tc>
        <w:tc>
          <w:tcPr>
            <w:tcW w:w="2020" w:type="dxa"/>
            <w:vAlign w:val="bottom"/>
          </w:tcPr>
          <w:p>
            <w:pPr>
              <w:jc w:val="right"/>
              <w:ind w:right="217"/>
              <w:spacing w:after="0" w:line="187" w:lineRule="exact"/>
              <w:rPr>
                <w:sz w:val="20"/>
                <w:szCs w:val="20"/>
                <w:color w:val="auto"/>
              </w:rPr>
            </w:pPr>
            <w:r>
              <w:rPr>
                <w:rFonts w:ascii="Arial" w:cs="Arial" w:eastAsia="Arial" w:hAnsi="Arial"/>
                <w:sz w:val="17"/>
                <w:szCs w:val="17"/>
                <w:color w:val="auto"/>
              </w:rPr>
              <w:t>1,858</w:t>
            </w:r>
          </w:p>
        </w:tc>
        <w:tc>
          <w:tcPr>
            <w:tcW w:w="0" w:type="dxa"/>
            <w:vAlign w:val="bottom"/>
          </w:tcPr>
          <w:p>
            <w:pPr>
              <w:spacing w:after="0"/>
              <w:rPr>
                <w:sz w:val="1"/>
                <w:szCs w:val="1"/>
                <w:color w:val="auto"/>
              </w:rPr>
            </w:pPr>
          </w:p>
        </w:tc>
      </w:tr>
      <w:tr>
        <w:trPr>
          <w:trHeight w:val="187"/>
        </w:trPr>
        <w:tc>
          <w:tcPr>
            <w:tcW w:w="5560" w:type="dxa"/>
            <w:vAlign w:val="bottom"/>
          </w:tcPr>
          <w:p>
            <w:pPr>
              <w:spacing w:after="0" w:line="187" w:lineRule="exact"/>
              <w:rPr>
                <w:sz w:val="20"/>
                <w:szCs w:val="20"/>
                <w:color w:val="auto"/>
              </w:rPr>
            </w:pPr>
            <w:r>
              <w:rPr>
                <w:rFonts w:ascii="Arial" w:cs="Arial" w:eastAsia="Arial" w:hAnsi="Arial"/>
                <w:sz w:val="17"/>
                <w:szCs w:val="17"/>
                <w:color w:val="auto"/>
              </w:rPr>
              <w:t>Margaret Dillon</w:t>
            </w:r>
          </w:p>
        </w:tc>
        <w:tc>
          <w:tcPr>
            <w:tcW w:w="2320" w:type="dxa"/>
            <w:vAlign w:val="bottom"/>
          </w:tcPr>
          <w:p>
            <w:pPr>
              <w:jc w:val="right"/>
              <w:ind w:right="457"/>
              <w:spacing w:after="0" w:line="187" w:lineRule="exact"/>
              <w:rPr>
                <w:sz w:val="20"/>
                <w:szCs w:val="20"/>
                <w:color w:val="auto"/>
              </w:rPr>
            </w:pPr>
            <w:r>
              <w:rPr>
                <w:rFonts w:ascii="Arial" w:cs="Arial" w:eastAsia="Arial" w:hAnsi="Arial"/>
                <w:sz w:val="17"/>
                <w:szCs w:val="17"/>
                <w:color w:val="auto"/>
              </w:rPr>
              <w:t>945</w:t>
            </w:r>
          </w:p>
        </w:tc>
        <w:tc>
          <w:tcPr>
            <w:tcW w:w="2020" w:type="dxa"/>
            <w:vAlign w:val="bottom"/>
          </w:tcPr>
          <w:p>
            <w:pPr>
              <w:jc w:val="right"/>
              <w:ind w:right="217"/>
              <w:spacing w:after="0" w:line="187" w:lineRule="exact"/>
              <w:rPr>
                <w:sz w:val="20"/>
                <w:szCs w:val="20"/>
                <w:color w:val="auto"/>
              </w:rPr>
            </w:pPr>
            <w:r>
              <w:rPr>
                <w:rFonts w:ascii="Arial" w:cs="Arial" w:eastAsia="Arial" w:hAnsi="Arial"/>
                <w:sz w:val="17"/>
                <w:szCs w:val="17"/>
                <w:color w:val="auto"/>
              </w:rPr>
              <w:t>945</w:t>
            </w:r>
          </w:p>
        </w:tc>
        <w:tc>
          <w:tcPr>
            <w:tcW w:w="0" w:type="dxa"/>
            <w:vAlign w:val="bottom"/>
          </w:tcPr>
          <w:p>
            <w:pPr>
              <w:spacing w:after="0"/>
              <w:rPr>
                <w:sz w:val="1"/>
                <w:szCs w:val="1"/>
                <w:color w:val="auto"/>
              </w:rPr>
            </w:pPr>
          </w:p>
        </w:tc>
      </w:tr>
      <w:tr>
        <w:trPr>
          <w:trHeight w:val="187"/>
        </w:trPr>
        <w:tc>
          <w:tcPr>
            <w:tcW w:w="5560" w:type="dxa"/>
            <w:vAlign w:val="bottom"/>
          </w:tcPr>
          <w:p>
            <w:pPr>
              <w:spacing w:after="0" w:line="187" w:lineRule="exact"/>
              <w:rPr>
                <w:sz w:val="20"/>
                <w:szCs w:val="20"/>
                <w:color w:val="auto"/>
              </w:rPr>
            </w:pPr>
            <w:r>
              <w:rPr>
                <w:rFonts w:ascii="Arial" w:cs="Arial" w:eastAsia="Arial" w:hAnsi="Arial"/>
                <w:sz w:val="17"/>
                <w:szCs w:val="17"/>
                <w:color w:val="auto"/>
              </w:rPr>
              <w:t>Philip A. Gelston</w:t>
            </w:r>
          </w:p>
        </w:tc>
        <w:tc>
          <w:tcPr>
            <w:tcW w:w="2320" w:type="dxa"/>
            <w:vAlign w:val="bottom"/>
          </w:tcPr>
          <w:p>
            <w:pPr>
              <w:jc w:val="right"/>
              <w:ind w:right="457"/>
              <w:spacing w:after="0" w:line="187" w:lineRule="exact"/>
              <w:rPr>
                <w:sz w:val="20"/>
                <w:szCs w:val="20"/>
                <w:color w:val="auto"/>
              </w:rPr>
            </w:pPr>
            <w:r>
              <w:rPr>
                <w:rFonts w:ascii="Arial" w:cs="Arial" w:eastAsia="Arial" w:hAnsi="Arial"/>
                <w:sz w:val="17"/>
                <w:szCs w:val="17"/>
                <w:color w:val="auto"/>
              </w:rPr>
              <w:t>1,568</w:t>
            </w:r>
          </w:p>
        </w:tc>
        <w:tc>
          <w:tcPr>
            <w:tcW w:w="2020" w:type="dxa"/>
            <w:vAlign w:val="bottom"/>
          </w:tcPr>
          <w:p>
            <w:pPr>
              <w:jc w:val="right"/>
              <w:ind w:right="217"/>
              <w:spacing w:after="0" w:line="187" w:lineRule="exact"/>
              <w:rPr>
                <w:sz w:val="20"/>
                <w:szCs w:val="20"/>
                <w:color w:val="auto"/>
              </w:rPr>
            </w:pPr>
            <w:r>
              <w:rPr>
                <w:rFonts w:ascii="Arial" w:cs="Arial" w:eastAsia="Arial" w:hAnsi="Arial"/>
                <w:sz w:val="17"/>
                <w:szCs w:val="17"/>
                <w:color w:val="auto"/>
              </w:rPr>
              <w:t>1,568</w:t>
            </w:r>
          </w:p>
        </w:tc>
        <w:tc>
          <w:tcPr>
            <w:tcW w:w="0" w:type="dxa"/>
            <w:vAlign w:val="bottom"/>
          </w:tcPr>
          <w:p>
            <w:pPr>
              <w:spacing w:after="0"/>
              <w:rPr>
                <w:sz w:val="1"/>
                <w:szCs w:val="1"/>
                <w:color w:val="auto"/>
              </w:rPr>
            </w:pPr>
          </w:p>
        </w:tc>
      </w:tr>
      <w:tr>
        <w:trPr>
          <w:trHeight w:val="187"/>
        </w:trPr>
        <w:tc>
          <w:tcPr>
            <w:tcW w:w="5560" w:type="dxa"/>
            <w:vAlign w:val="bottom"/>
          </w:tcPr>
          <w:p>
            <w:pPr>
              <w:spacing w:after="0" w:line="187" w:lineRule="exact"/>
              <w:rPr>
                <w:sz w:val="20"/>
                <w:szCs w:val="20"/>
                <w:color w:val="auto"/>
              </w:rPr>
            </w:pPr>
            <w:r>
              <w:rPr>
                <w:rFonts w:ascii="Arial" w:cs="Arial" w:eastAsia="Arial" w:hAnsi="Arial"/>
                <w:sz w:val="17"/>
                <w:szCs w:val="17"/>
                <w:color w:val="auto"/>
              </w:rPr>
              <w:t>Giles E. Harrison</w:t>
            </w:r>
          </w:p>
        </w:tc>
        <w:tc>
          <w:tcPr>
            <w:tcW w:w="2320" w:type="dxa"/>
            <w:vAlign w:val="bottom"/>
          </w:tcPr>
          <w:p>
            <w:pPr>
              <w:jc w:val="right"/>
              <w:ind w:right="457"/>
              <w:spacing w:after="0" w:line="187" w:lineRule="exact"/>
              <w:rPr>
                <w:sz w:val="20"/>
                <w:szCs w:val="20"/>
                <w:color w:val="auto"/>
              </w:rPr>
            </w:pPr>
            <w:r>
              <w:rPr>
                <w:rFonts w:ascii="Arial" w:cs="Arial" w:eastAsia="Arial" w:hAnsi="Arial"/>
                <w:sz w:val="17"/>
                <w:szCs w:val="17"/>
                <w:color w:val="auto"/>
              </w:rPr>
              <w:t>2,680</w:t>
            </w:r>
          </w:p>
        </w:tc>
        <w:tc>
          <w:tcPr>
            <w:tcW w:w="2020" w:type="dxa"/>
            <w:vAlign w:val="bottom"/>
          </w:tcPr>
          <w:p>
            <w:pPr>
              <w:jc w:val="right"/>
              <w:ind w:right="217"/>
              <w:spacing w:after="0" w:line="187" w:lineRule="exact"/>
              <w:rPr>
                <w:sz w:val="20"/>
                <w:szCs w:val="20"/>
                <w:color w:val="auto"/>
              </w:rPr>
            </w:pPr>
            <w:r>
              <w:rPr>
                <w:rFonts w:ascii="Arial" w:cs="Arial" w:eastAsia="Arial" w:hAnsi="Arial"/>
                <w:sz w:val="17"/>
                <w:szCs w:val="17"/>
                <w:color w:val="auto"/>
              </w:rPr>
              <w:t>5,355</w:t>
            </w:r>
          </w:p>
        </w:tc>
        <w:tc>
          <w:tcPr>
            <w:tcW w:w="0" w:type="dxa"/>
            <w:vAlign w:val="bottom"/>
          </w:tcPr>
          <w:p>
            <w:pPr>
              <w:spacing w:after="0"/>
              <w:rPr>
                <w:sz w:val="1"/>
                <w:szCs w:val="1"/>
                <w:color w:val="auto"/>
              </w:rPr>
            </w:pPr>
          </w:p>
        </w:tc>
      </w:tr>
      <w:tr>
        <w:trPr>
          <w:trHeight w:val="187"/>
        </w:trPr>
        <w:tc>
          <w:tcPr>
            <w:tcW w:w="5560" w:type="dxa"/>
            <w:vAlign w:val="bottom"/>
          </w:tcPr>
          <w:p>
            <w:pPr>
              <w:spacing w:after="0" w:line="187" w:lineRule="exact"/>
              <w:rPr>
                <w:sz w:val="20"/>
                <w:szCs w:val="20"/>
                <w:color w:val="auto"/>
              </w:rPr>
            </w:pPr>
            <w:r>
              <w:rPr>
                <w:rFonts w:ascii="Arial" w:cs="Arial" w:eastAsia="Arial" w:hAnsi="Arial"/>
                <w:sz w:val="17"/>
                <w:szCs w:val="17"/>
                <w:color w:val="auto"/>
              </w:rPr>
              <w:t>Weston M. Hicks</w:t>
            </w:r>
          </w:p>
        </w:tc>
        <w:tc>
          <w:tcPr>
            <w:tcW w:w="2320" w:type="dxa"/>
            <w:vAlign w:val="bottom"/>
          </w:tcPr>
          <w:p>
            <w:pPr>
              <w:jc w:val="right"/>
              <w:ind w:right="457"/>
              <w:spacing w:after="0" w:line="187" w:lineRule="exact"/>
              <w:rPr>
                <w:sz w:val="20"/>
                <w:szCs w:val="20"/>
                <w:color w:val="auto"/>
              </w:rPr>
            </w:pPr>
            <w:r>
              <w:rPr>
                <w:rFonts w:ascii="Arial" w:cs="Arial" w:eastAsia="Arial" w:hAnsi="Arial"/>
                <w:sz w:val="17"/>
                <w:szCs w:val="17"/>
                <w:color w:val="auto"/>
              </w:rPr>
              <w:t>2,746</w:t>
            </w:r>
          </w:p>
        </w:tc>
        <w:tc>
          <w:tcPr>
            <w:tcW w:w="2020" w:type="dxa"/>
            <w:vAlign w:val="bottom"/>
          </w:tcPr>
          <w:p>
            <w:pPr>
              <w:jc w:val="right"/>
              <w:ind w:right="217"/>
              <w:spacing w:after="0" w:line="187" w:lineRule="exact"/>
              <w:rPr>
                <w:sz w:val="20"/>
                <w:szCs w:val="20"/>
                <w:color w:val="auto"/>
              </w:rPr>
            </w:pPr>
            <w:r>
              <w:rPr>
                <w:rFonts w:ascii="Arial" w:cs="Arial" w:eastAsia="Arial" w:hAnsi="Arial"/>
                <w:sz w:val="17"/>
                <w:szCs w:val="17"/>
                <w:color w:val="auto"/>
              </w:rPr>
              <w:t>2,746</w:t>
            </w:r>
          </w:p>
        </w:tc>
        <w:tc>
          <w:tcPr>
            <w:tcW w:w="0" w:type="dxa"/>
            <w:vAlign w:val="bottom"/>
          </w:tcPr>
          <w:p>
            <w:pPr>
              <w:spacing w:after="0"/>
              <w:rPr>
                <w:sz w:val="1"/>
                <w:szCs w:val="1"/>
                <w:color w:val="auto"/>
              </w:rPr>
            </w:pPr>
          </w:p>
        </w:tc>
      </w:tr>
      <w:tr>
        <w:trPr>
          <w:trHeight w:val="187"/>
        </w:trPr>
        <w:tc>
          <w:tcPr>
            <w:tcW w:w="5560" w:type="dxa"/>
            <w:vAlign w:val="bottom"/>
          </w:tcPr>
          <w:p>
            <w:pPr>
              <w:spacing w:after="0" w:line="187" w:lineRule="exact"/>
              <w:rPr>
                <w:sz w:val="20"/>
                <w:szCs w:val="20"/>
                <w:color w:val="auto"/>
              </w:rPr>
            </w:pPr>
            <w:r>
              <w:rPr>
                <w:rFonts w:ascii="Arial" w:cs="Arial" w:eastAsia="Arial" w:hAnsi="Arial"/>
                <w:sz w:val="17"/>
                <w:szCs w:val="17"/>
                <w:color w:val="auto"/>
              </w:rPr>
              <w:t>Michaela J. Hildreth</w:t>
            </w:r>
          </w:p>
        </w:tc>
        <w:tc>
          <w:tcPr>
            <w:tcW w:w="2320" w:type="dxa"/>
            <w:vAlign w:val="bottom"/>
          </w:tcPr>
          <w:p>
            <w:pPr>
              <w:jc w:val="right"/>
              <w:ind w:right="457"/>
              <w:spacing w:after="0" w:line="187" w:lineRule="exact"/>
              <w:rPr>
                <w:sz w:val="20"/>
                <w:szCs w:val="20"/>
                <w:color w:val="auto"/>
              </w:rPr>
            </w:pPr>
            <w:r>
              <w:rPr>
                <w:rFonts w:ascii="Arial" w:cs="Arial" w:eastAsia="Arial" w:hAnsi="Arial"/>
                <w:sz w:val="17"/>
                <w:szCs w:val="17"/>
                <w:color w:val="auto"/>
              </w:rPr>
              <w:t>4,339</w:t>
            </w:r>
          </w:p>
        </w:tc>
        <w:tc>
          <w:tcPr>
            <w:tcW w:w="2020" w:type="dxa"/>
            <w:vAlign w:val="bottom"/>
          </w:tcPr>
          <w:p>
            <w:pPr>
              <w:jc w:val="right"/>
              <w:ind w:right="217"/>
              <w:spacing w:after="0" w:line="187" w:lineRule="exact"/>
              <w:rPr>
                <w:sz w:val="20"/>
                <w:szCs w:val="20"/>
                <w:color w:val="auto"/>
              </w:rPr>
            </w:pPr>
            <w:r>
              <w:rPr>
                <w:rFonts w:ascii="Arial" w:cs="Arial" w:eastAsia="Arial" w:hAnsi="Arial"/>
                <w:sz w:val="17"/>
                <w:szCs w:val="17"/>
                <w:color w:val="auto"/>
              </w:rPr>
              <w:t>6,164</w:t>
            </w:r>
          </w:p>
        </w:tc>
        <w:tc>
          <w:tcPr>
            <w:tcW w:w="0" w:type="dxa"/>
            <w:vAlign w:val="bottom"/>
          </w:tcPr>
          <w:p>
            <w:pPr>
              <w:spacing w:after="0"/>
              <w:rPr>
                <w:sz w:val="1"/>
                <w:szCs w:val="1"/>
                <w:color w:val="auto"/>
              </w:rPr>
            </w:pPr>
          </w:p>
        </w:tc>
      </w:tr>
      <w:tr>
        <w:trPr>
          <w:trHeight w:val="187"/>
        </w:trPr>
        <w:tc>
          <w:tcPr>
            <w:tcW w:w="5560" w:type="dxa"/>
            <w:vAlign w:val="bottom"/>
          </w:tcPr>
          <w:p>
            <w:pPr>
              <w:spacing w:after="0" w:line="187" w:lineRule="exact"/>
              <w:rPr>
                <w:sz w:val="20"/>
                <w:szCs w:val="20"/>
                <w:color w:val="auto"/>
              </w:rPr>
            </w:pPr>
            <w:r>
              <w:rPr>
                <w:rFonts w:ascii="Arial" w:cs="Arial" w:eastAsia="Arial" w:hAnsi="Arial"/>
                <w:sz w:val="17"/>
                <w:szCs w:val="17"/>
                <w:color w:val="auto"/>
              </w:rPr>
              <w:t>G. Manning Rountree</w:t>
            </w:r>
          </w:p>
        </w:tc>
        <w:tc>
          <w:tcPr>
            <w:tcW w:w="2320" w:type="dxa"/>
            <w:vAlign w:val="bottom"/>
          </w:tcPr>
          <w:p>
            <w:pPr>
              <w:jc w:val="right"/>
              <w:ind w:right="457"/>
              <w:spacing w:after="0" w:line="187" w:lineRule="exact"/>
              <w:rPr>
                <w:sz w:val="20"/>
                <w:szCs w:val="20"/>
                <w:color w:val="auto"/>
              </w:rPr>
            </w:pPr>
            <w:r>
              <w:rPr>
                <w:rFonts w:ascii="Arial" w:cs="Arial" w:eastAsia="Arial" w:hAnsi="Arial"/>
                <w:sz w:val="17"/>
                <w:szCs w:val="17"/>
                <w:color w:val="auto"/>
              </w:rPr>
              <w:t>18,568</w:t>
            </w:r>
          </w:p>
        </w:tc>
        <w:tc>
          <w:tcPr>
            <w:tcW w:w="2020" w:type="dxa"/>
            <w:vAlign w:val="bottom"/>
          </w:tcPr>
          <w:p>
            <w:pPr>
              <w:jc w:val="right"/>
              <w:ind w:right="217"/>
              <w:spacing w:after="0" w:line="187" w:lineRule="exact"/>
              <w:rPr>
                <w:sz w:val="20"/>
                <w:szCs w:val="20"/>
                <w:color w:val="auto"/>
              </w:rPr>
            </w:pPr>
            <w:r>
              <w:rPr>
                <w:rFonts w:ascii="Arial" w:cs="Arial" w:eastAsia="Arial" w:hAnsi="Arial"/>
                <w:sz w:val="17"/>
                <w:szCs w:val="17"/>
                <w:color w:val="auto"/>
              </w:rPr>
              <w:t>21,993</w:t>
            </w:r>
          </w:p>
        </w:tc>
        <w:tc>
          <w:tcPr>
            <w:tcW w:w="0" w:type="dxa"/>
            <w:vAlign w:val="bottom"/>
          </w:tcPr>
          <w:p>
            <w:pPr>
              <w:spacing w:after="0"/>
              <w:rPr>
                <w:sz w:val="1"/>
                <w:szCs w:val="1"/>
                <w:color w:val="auto"/>
              </w:rPr>
            </w:pPr>
          </w:p>
        </w:tc>
      </w:tr>
      <w:tr>
        <w:trPr>
          <w:trHeight w:val="187"/>
        </w:trPr>
        <w:tc>
          <w:tcPr>
            <w:tcW w:w="5560" w:type="dxa"/>
            <w:vAlign w:val="bottom"/>
          </w:tcPr>
          <w:p>
            <w:pPr>
              <w:spacing w:after="0" w:line="187" w:lineRule="exact"/>
              <w:rPr>
                <w:sz w:val="20"/>
                <w:szCs w:val="20"/>
                <w:color w:val="auto"/>
              </w:rPr>
            </w:pPr>
            <w:r>
              <w:rPr>
                <w:rFonts w:ascii="Arial" w:cs="Arial" w:eastAsia="Arial" w:hAnsi="Arial"/>
                <w:sz w:val="17"/>
                <w:szCs w:val="17"/>
                <w:color w:val="auto"/>
              </w:rPr>
              <w:t>Robert L. Seelig</w:t>
            </w:r>
          </w:p>
        </w:tc>
        <w:tc>
          <w:tcPr>
            <w:tcW w:w="2320" w:type="dxa"/>
            <w:vAlign w:val="bottom"/>
          </w:tcPr>
          <w:p>
            <w:pPr>
              <w:jc w:val="right"/>
              <w:ind w:right="457"/>
              <w:spacing w:after="0" w:line="187" w:lineRule="exact"/>
              <w:rPr>
                <w:sz w:val="20"/>
                <w:szCs w:val="20"/>
                <w:color w:val="auto"/>
              </w:rPr>
            </w:pPr>
            <w:r>
              <w:rPr>
                <w:rFonts w:ascii="Arial" w:cs="Arial" w:eastAsia="Arial" w:hAnsi="Arial"/>
                <w:sz w:val="17"/>
                <w:szCs w:val="17"/>
                <w:color w:val="auto"/>
              </w:rPr>
              <w:t>20,947</w:t>
            </w:r>
          </w:p>
        </w:tc>
        <w:tc>
          <w:tcPr>
            <w:tcW w:w="2020" w:type="dxa"/>
            <w:vAlign w:val="bottom"/>
          </w:tcPr>
          <w:p>
            <w:pPr>
              <w:jc w:val="right"/>
              <w:ind w:right="217"/>
              <w:spacing w:after="0" w:line="187" w:lineRule="exact"/>
              <w:rPr>
                <w:sz w:val="20"/>
                <w:szCs w:val="20"/>
                <w:color w:val="auto"/>
              </w:rPr>
            </w:pPr>
            <w:r>
              <w:rPr>
                <w:rFonts w:ascii="Arial" w:cs="Arial" w:eastAsia="Arial" w:hAnsi="Arial"/>
                <w:sz w:val="17"/>
                <w:szCs w:val="17"/>
                <w:color w:val="auto"/>
              </w:rPr>
              <w:t>23,447</w:t>
            </w:r>
          </w:p>
        </w:tc>
        <w:tc>
          <w:tcPr>
            <w:tcW w:w="0" w:type="dxa"/>
            <w:vAlign w:val="bottom"/>
          </w:tcPr>
          <w:p>
            <w:pPr>
              <w:spacing w:after="0"/>
              <w:rPr>
                <w:sz w:val="1"/>
                <w:szCs w:val="1"/>
                <w:color w:val="auto"/>
              </w:rPr>
            </w:pPr>
          </w:p>
        </w:tc>
      </w:tr>
      <w:tr>
        <w:trPr>
          <w:trHeight w:val="187"/>
        </w:trPr>
        <w:tc>
          <w:tcPr>
            <w:tcW w:w="5560" w:type="dxa"/>
            <w:vAlign w:val="bottom"/>
          </w:tcPr>
          <w:p>
            <w:pPr>
              <w:spacing w:after="0" w:line="187" w:lineRule="exact"/>
              <w:rPr>
                <w:sz w:val="20"/>
                <w:szCs w:val="20"/>
                <w:color w:val="auto"/>
              </w:rPr>
            </w:pPr>
            <w:r>
              <w:rPr>
                <w:rFonts w:ascii="Arial" w:cs="Arial" w:eastAsia="Arial" w:hAnsi="Arial"/>
                <w:sz w:val="17"/>
                <w:szCs w:val="17"/>
                <w:color w:val="auto"/>
              </w:rPr>
              <w:t>Suzanne F. Shank</w:t>
            </w:r>
          </w:p>
        </w:tc>
        <w:tc>
          <w:tcPr>
            <w:tcW w:w="2320" w:type="dxa"/>
            <w:vAlign w:val="bottom"/>
          </w:tcPr>
          <w:p>
            <w:pPr>
              <w:jc w:val="right"/>
              <w:ind w:right="457"/>
              <w:spacing w:after="0" w:line="187" w:lineRule="exact"/>
              <w:rPr>
                <w:sz w:val="20"/>
                <w:szCs w:val="20"/>
                <w:color w:val="auto"/>
              </w:rPr>
            </w:pPr>
            <w:r>
              <w:rPr>
                <w:rFonts w:ascii="Arial" w:cs="Arial" w:eastAsia="Arial" w:hAnsi="Arial"/>
                <w:sz w:val="17"/>
                <w:szCs w:val="17"/>
                <w:color w:val="auto"/>
              </w:rPr>
              <w:t>871</w:t>
            </w:r>
          </w:p>
        </w:tc>
        <w:tc>
          <w:tcPr>
            <w:tcW w:w="2020" w:type="dxa"/>
            <w:vAlign w:val="bottom"/>
          </w:tcPr>
          <w:p>
            <w:pPr>
              <w:jc w:val="right"/>
              <w:ind w:right="217"/>
              <w:spacing w:after="0" w:line="187" w:lineRule="exact"/>
              <w:rPr>
                <w:sz w:val="20"/>
                <w:szCs w:val="20"/>
                <w:color w:val="auto"/>
              </w:rPr>
            </w:pPr>
            <w:r>
              <w:rPr>
                <w:rFonts w:ascii="Arial" w:cs="Arial" w:eastAsia="Arial" w:hAnsi="Arial"/>
                <w:sz w:val="17"/>
                <w:szCs w:val="17"/>
                <w:color w:val="auto"/>
              </w:rPr>
              <w:t>871</w:t>
            </w:r>
          </w:p>
        </w:tc>
        <w:tc>
          <w:tcPr>
            <w:tcW w:w="0" w:type="dxa"/>
            <w:vAlign w:val="bottom"/>
          </w:tcPr>
          <w:p>
            <w:pPr>
              <w:spacing w:after="0"/>
              <w:rPr>
                <w:sz w:val="1"/>
                <w:szCs w:val="1"/>
                <w:color w:val="auto"/>
              </w:rPr>
            </w:pPr>
          </w:p>
        </w:tc>
      </w:tr>
      <w:tr>
        <w:trPr>
          <w:trHeight w:val="187"/>
        </w:trPr>
        <w:tc>
          <w:tcPr>
            <w:tcW w:w="5560" w:type="dxa"/>
            <w:vAlign w:val="bottom"/>
          </w:tcPr>
          <w:p>
            <w:pPr>
              <w:spacing w:after="0" w:line="187" w:lineRule="exact"/>
              <w:rPr>
                <w:sz w:val="20"/>
                <w:szCs w:val="20"/>
                <w:color w:val="auto"/>
              </w:rPr>
            </w:pPr>
            <w:r>
              <w:rPr>
                <w:rFonts w:ascii="Arial" w:cs="Arial" w:eastAsia="Arial" w:hAnsi="Arial"/>
                <w:sz w:val="17"/>
                <w:szCs w:val="17"/>
                <w:color w:val="auto"/>
              </w:rPr>
              <w:t>David A. Tanner</w:t>
            </w:r>
          </w:p>
        </w:tc>
        <w:tc>
          <w:tcPr>
            <w:tcW w:w="2320" w:type="dxa"/>
            <w:vAlign w:val="bottom"/>
          </w:tcPr>
          <w:p>
            <w:pPr>
              <w:jc w:val="right"/>
              <w:ind w:right="457"/>
              <w:spacing w:after="0" w:line="187" w:lineRule="exact"/>
              <w:rPr>
                <w:sz w:val="20"/>
                <w:szCs w:val="20"/>
                <w:color w:val="auto"/>
              </w:rPr>
            </w:pPr>
            <w:r>
              <w:rPr>
                <w:rFonts w:ascii="Arial" w:cs="Arial" w:eastAsia="Arial" w:hAnsi="Arial"/>
                <w:sz w:val="17"/>
                <w:szCs w:val="17"/>
                <w:color w:val="auto"/>
              </w:rPr>
              <w:t>1,879</w:t>
            </w:r>
          </w:p>
        </w:tc>
        <w:tc>
          <w:tcPr>
            <w:tcW w:w="2020" w:type="dxa"/>
            <w:vAlign w:val="bottom"/>
          </w:tcPr>
          <w:p>
            <w:pPr>
              <w:jc w:val="right"/>
              <w:ind w:right="217"/>
              <w:spacing w:after="0" w:line="187" w:lineRule="exact"/>
              <w:rPr>
                <w:sz w:val="20"/>
                <w:szCs w:val="20"/>
                <w:color w:val="auto"/>
              </w:rPr>
            </w:pPr>
            <w:r>
              <w:rPr>
                <w:rFonts w:ascii="Arial" w:cs="Arial" w:eastAsia="Arial" w:hAnsi="Arial"/>
                <w:sz w:val="17"/>
                <w:szCs w:val="17"/>
                <w:color w:val="auto"/>
              </w:rPr>
              <w:t>1,879</w:t>
            </w:r>
          </w:p>
        </w:tc>
        <w:tc>
          <w:tcPr>
            <w:tcW w:w="0" w:type="dxa"/>
            <w:vAlign w:val="bottom"/>
          </w:tcPr>
          <w:p>
            <w:pPr>
              <w:spacing w:after="0"/>
              <w:rPr>
                <w:sz w:val="1"/>
                <w:szCs w:val="1"/>
                <w:color w:val="auto"/>
              </w:rPr>
            </w:pPr>
          </w:p>
        </w:tc>
      </w:tr>
      <w:tr>
        <w:trPr>
          <w:trHeight w:val="218"/>
        </w:trPr>
        <w:tc>
          <w:tcPr>
            <w:tcW w:w="5560" w:type="dxa"/>
            <w:vAlign w:val="bottom"/>
          </w:tcPr>
          <w:p>
            <w:pPr>
              <w:spacing w:after="0"/>
              <w:rPr>
                <w:sz w:val="20"/>
                <w:szCs w:val="20"/>
                <w:color w:val="auto"/>
              </w:rPr>
            </w:pPr>
            <w:r>
              <w:rPr>
                <w:rFonts w:ascii="Arial" w:cs="Arial" w:eastAsia="Arial" w:hAnsi="Arial"/>
                <w:sz w:val="17"/>
                <w:szCs w:val="17"/>
                <w:color w:val="auto"/>
              </w:rPr>
              <w:t>Steven M. Yi</w:t>
            </w:r>
          </w:p>
        </w:tc>
        <w:tc>
          <w:tcPr>
            <w:tcW w:w="2320" w:type="dxa"/>
            <w:vAlign w:val="bottom"/>
          </w:tcPr>
          <w:p>
            <w:pPr>
              <w:jc w:val="right"/>
              <w:ind w:right="457"/>
              <w:spacing w:after="0"/>
              <w:rPr>
                <w:sz w:val="20"/>
                <w:szCs w:val="20"/>
                <w:color w:val="auto"/>
              </w:rPr>
            </w:pPr>
            <w:r>
              <w:rPr>
                <w:rFonts w:ascii="Arial" w:cs="Arial" w:eastAsia="Arial" w:hAnsi="Arial"/>
                <w:sz w:val="17"/>
                <w:szCs w:val="17"/>
                <w:color w:val="auto"/>
              </w:rPr>
              <w:t>525</w:t>
            </w:r>
          </w:p>
        </w:tc>
        <w:tc>
          <w:tcPr>
            <w:tcW w:w="2020" w:type="dxa"/>
            <w:vAlign w:val="bottom"/>
          </w:tcPr>
          <w:p>
            <w:pPr>
              <w:jc w:val="right"/>
              <w:ind w:right="217"/>
              <w:spacing w:after="0"/>
              <w:rPr>
                <w:sz w:val="20"/>
                <w:szCs w:val="20"/>
                <w:color w:val="auto"/>
              </w:rPr>
            </w:pPr>
            <w:r>
              <w:rPr>
                <w:rFonts w:ascii="Arial" w:cs="Arial" w:eastAsia="Arial" w:hAnsi="Arial"/>
                <w:sz w:val="17"/>
                <w:szCs w:val="17"/>
                <w:color w:val="auto"/>
              </w:rPr>
              <w:t>525</w:t>
            </w:r>
          </w:p>
        </w:tc>
        <w:tc>
          <w:tcPr>
            <w:tcW w:w="0" w:type="dxa"/>
            <w:vAlign w:val="bottom"/>
          </w:tcPr>
          <w:p>
            <w:pPr>
              <w:spacing w:after="0"/>
              <w:rPr>
                <w:sz w:val="1"/>
                <w:szCs w:val="1"/>
                <w:color w:val="auto"/>
              </w:rPr>
            </w:pPr>
          </w:p>
        </w:tc>
      </w:tr>
      <w:tr>
        <w:trPr>
          <w:trHeight w:val="197"/>
        </w:trPr>
        <w:tc>
          <w:tcPr>
            <w:tcW w:w="5560" w:type="dxa"/>
            <w:vAlign w:val="bottom"/>
          </w:tcPr>
          <w:p>
            <w:pPr>
              <w:spacing w:after="0"/>
              <w:rPr>
                <w:sz w:val="20"/>
                <w:szCs w:val="20"/>
                <w:color w:val="auto"/>
              </w:rPr>
            </w:pPr>
            <w:r>
              <w:rPr>
                <w:rFonts w:ascii="Arial" w:cs="Arial" w:eastAsia="Arial" w:hAnsi="Arial"/>
                <w:sz w:val="15"/>
                <w:szCs w:val="15"/>
                <w:color w:val="auto"/>
              </w:rPr>
              <w:t>All directors, Named Executive Officers and all other executive officers as a group</w:t>
            </w:r>
          </w:p>
        </w:tc>
        <w:tc>
          <w:tcPr>
            <w:tcW w:w="23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5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(14 persons)</w:t>
            </w:r>
          </w:p>
        </w:tc>
        <w:tc>
          <w:tcPr>
            <w:tcW w:w="2320" w:type="dxa"/>
            <w:vAlign w:val="bottom"/>
            <w:tcBorders>
              <w:bottom w:val="single" w:sz="8" w:color="auto"/>
            </w:tcBorders>
          </w:tcPr>
          <w:p>
            <w:pPr>
              <w:jc w:val="right"/>
              <w:ind w:right="457"/>
              <w:spacing w:after="0"/>
              <w:rPr>
                <w:sz w:val="20"/>
                <w:szCs w:val="20"/>
                <w:color w:val="auto"/>
              </w:rPr>
            </w:pPr>
            <w:r>
              <w:rPr>
                <w:rFonts w:ascii="Arial" w:cs="Arial" w:eastAsia="Arial" w:hAnsi="Arial"/>
                <w:sz w:val="17"/>
                <w:szCs w:val="17"/>
                <w:color w:val="auto"/>
              </w:rPr>
              <w:t>73,518</w:t>
            </w:r>
          </w:p>
        </w:tc>
        <w:tc>
          <w:tcPr>
            <w:tcW w:w="202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87,593</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1200" w:right="1260" w:hanging="305"/>
        <w:spacing w:after="0" w:line="236" w:lineRule="auto"/>
        <w:tabs>
          <w:tab w:leader="none" w:pos="12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common shares shown as beneficially owned by all directors, Named Executive Officers and all other executive officers as a group represent 3.0% of the total common shares outstanding at March 30, 2026. No director or executive officer beneficially owned 1% or more of the total common shares outstanding at that date. Beneficial ownership has been determined in accordance with Rule 13d-3 of the Exchange Act.</w:t>
      </w:r>
    </w:p>
    <w:p>
      <w:pPr>
        <w:spacing w:after="0" w:line="125" w:lineRule="exact"/>
        <w:rPr>
          <w:rFonts w:ascii="Arial" w:cs="Arial" w:eastAsia="Arial" w:hAnsi="Arial"/>
          <w:sz w:val="14"/>
          <w:szCs w:val="14"/>
          <w:color w:val="auto"/>
        </w:rPr>
      </w:pPr>
    </w:p>
    <w:p>
      <w:pPr>
        <w:ind w:left="1200" w:hanging="305"/>
        <w:spacing w:after="0" w:line="259" w:lineRule="auto"/>
        <w:tabs>
          <w:tab w:leader="none" w:pos="12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Common shares shown as economically owned include common shares beneficially owned and target unearned performance share awards, less any common shares in which the owner disclaims a pecuniary interest.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803" w:right="33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color w:val="auto"/>
        </w:rPr>
        <w:t>EXECUTIVE COMPENSATION</w:t>
      </w:r>
    </w:p>
    <w:p>
      <w:pPr>
        <w:spacing w:after="0" w:line="302" w:lineRule="exact"/>
        <w:rPr>
          <w:sz w:val="20"/>
          <w:szCs w:val="20"/>
          <w:color w:val="auto"/>
        </w:rPr>
      </w:pPr>
    </w:p>
    <w:p>
      <w:pPr>
        <w:spacing w:after="0"/>
        <w:rPr>
          <w:sz w:val="20"/>
          <w:szCs w:val="20"/>
          <w:color w:val="auto"/>
        </w:rPr>
      </w:pPr>
      <w:r>
        <w:rPr>
          <w:rFonts w:ascii="Arial" w:cs="Arial" w:eastAsia="Arial" w:hAnsi="Arial"/>
          <w:sz w:val="23"/>
          <w:szCs w:val="23"/>
          <w:b w:val="1"/>
          <w:bCs w:val="1"/>
          <w:color w:val="00B0F0"/>
        </w:rPr>
        <w:t>FROM OUR COMPENSATION/NOMINATING &amp; GOVERNANCE COMMITTEE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191" w:lineRule="exact"/>
        <w:rPr>
          <w:sz w:val="20"/>
          <w:szCs w:val="20"/>
          <w:color w:val="auto"/>
        </w:rPr>
      </w:pPr>
    </w:p>
    <w:p>
      <w:pPr>
        <w:ind w:right="420"/>
        <w:spacing w:after="0" w:line="250" w:lineRule="auto"/>
        <w:rPr>
          <w:sz w:val="20"/>
          <w:szCs w:val="20"/>
          <w:color w:val="auto"/>
        </w:rPr>
      </w:pPr>
      <w:r>
        <w:rPr>
          <w:rFonts w:ascii="Arial" w:cs="Arial" w:eastAsia="Arial" w:hAnsi="Arial"/>
          <w:sz w:val="18"/>
          <w:szCs w:val="18"/>
          <w:color w:val="auto"/>
        </w:rPr>
        <w:t>One of our most important responsibilities as the independent Compensation/Nominating &amp; Governance Committee (the “CNG Committee”) is to structure our executive compensation program (i) to create strong alignment of interests with shareholders and (ii) to attract, retain and motivate talented executives who create long-term value for the Company and its shareholders.</w:t>
      </w:r>
    </w:p>
    <w:p>
      <w:pPr>
        <w:spacing w:after="0" w:line="150" w:lineRule="exact"/>
        <w:rPr>
          <w:sz w:val="20"/>
          <w:szCs w:val="20"/>
          <w:color w:val="auto"/>
        </w:rPr>
      </w:pPr>
    </w:p>
    <w:p>
      <w:pPr>
        <w:jc w:val="both"/>
        <w:ind w:right="480"/>
        <w:spacing w:after="0" w:line="244" w:lineRule="auto"/>
        <w:rPr>
          <w:sz w:val="20"/>
          <w:szCs w:val="20"/>
          <w:color w:val="auto"/>
        </w:rPr>
      </w:pPr>
      <w:r>
        <w:rPr>
          <w:rFonts w:ascii="Arial" w:cs="Arial" w:eastAsia="Arial" w:hAnsi="Arial"/>
          <w:sz w:val="18"/>
          <w:szCs w:val="18"/>
          <w:color w:val="auto"/>
        </w:rPr>
        <w:t>We have a long track record of seeking feedback from our shareholders on our compensation and governance practices. In 2025, we reached out to shareholders owning 75% of White Mountains’s outstanding shares, and we met with all shareholders who accepted a meeting (representing 31% of our outstanding shares). These meetings provided valuable feedback regarding our compensation and governance practices.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Highlights</w:t>
      </w:r>
      <w:r>
        <w:rPr>
          <w:rFonts w:ascii="Arial" w:cs="Arial" w:eastAsia="Arial" w:hAnsi="Arial"/>
          <w:sz w:val="18"/>
          <w:szCs w:val="18"/>
          <w:color w:val="auto"/>
        </w:rPr>
        <w:t>:</w:t>
      </w:r>
    </w:p>
    <w:p>
      <w:pPr>
        <w:spacing w:after="0" w:line="191" w:lineRule="exact"/>
        <w:rPr>
          <w:sz w:val="20"/>
          <w:szCs w:val="20"/>
          <w:color w:val="auto"/>
        </w:rPr>
      </w:pPr>
    </w:p>
    <w:p>
      <w:pPr>
        <w:ind w:left="600" w:hanging="302"/>
        <w:spacing w:after="0"/>
        <w:tabs>
          <w:tab w:leader="none" w:pos="600" w:val="left"/>
        </w:tabs>
        <w:numPr>
          <w:ilvl w:val="0"/>
          <w:numId w:val="18"/>
        </w:numPr>
        <w:rPr>
          <w:rFonts w:ascii="Wingdings" w:cs="Wingdings" w:eastAsia="Wingdings" w:hAnsi="Wingdings"/>
          <w:sz w:val="15"/>
          <w:szCs w:val="15"/>
          <w:b w:val="1"/>
          <w:bCs w:val="1"/>
          <w:color w:val="CF9F24"/>
        </w:rPr>
      </w:pPr>
      <w:r>
        <w:rPr>
          <w:rFonts w:ascii="Arial" w:cs="Arial" w:eastAsia="Arial" w:hAnsi="Arial"/>
          <w:sz w:val="18"/>
          <w:szCs w:val="18"/>
          <w:color w:val="auto"/>
        </w:rPr>
        <w:t>Base salaries for Named Executive Officers were kept flat year-over-year and continue to be capped at $600,000.</w:t>
      </w:r>
    </w:p>
    <w:p>
      <w:pPr>
        <w:spacing w:after="0" w:line="10" w:lineRule="exact"/>
        <w:rPr>
          <w:rFonts w:ascii="Wingdings" w:cs="Wingdings" w:eastAsia="Wingdings" w:hAnsi="Wingdings"/>
          <w:sz w:val="15"/>
          <w:szCs w:val="15"/>
          <w:b w:val="1"/>
          <w:bCs w:val="1"/>
          <w:color w:val="CF9F24"/>
        </w:rPr>
      </w:pPr>
    </w:p>
    <w:p>
      <w:pPr>
        <w:ind w:left="600" w:right="1500" w:hanging="302"/>
        <w:spacing w:after="0" w:line="230" w:lineRule="auto"/>
        <w:tabs>
          <w:tab w:leader="none" w:pos="600" w:val="left"/>
        </w:tabs>
        <w:numPr>
          <w:ilvl w:val="0"/>
          <w:numId w:val="18"/>
        </w:numPr>
        <w:rPr>
          <w:rFonts w:ascii="Wingdings" w:cs="Wingdings" w:eastAsia="Wingdings" w:hAnsi="Wingdings"/>
          <w:sz w:val="15"/>
          <w:szCs w:val="15"/>
          <w:b w:val="1"/>
          <w:bCs w:val="1"/>
          <w:color w:val="CF9F24"/>
        </w:rPr>
      </w:pPr>
      <w:r>
        <w:rPr>
          <w:rFonts w:ascii="Arial" w:cs="Arial" w:eastAsia="Arial" w:hAnsi="Arial"/>
          <w:sz w:val="18"/>
          <w:szCs w:val="18"/>
          <w:color w:val="auto"/>
        </w:rPr>
        <w:t>We believe in paying for performance. In 2025, 92% of CEO compensation (at target) was meaningfully “at risk” – dependent on Company performance or share price performance or both.</w:t>
      </w:r>
    </w:p>
    <w:p>
      <w:pPr>
        <w:spacing w:after="0" w:line="1" w:lineRule="exact"/>
        <w:rPr>
          <w:rFonts w:ascii="Wingdings" w:cs="Wingdings" w:eastAsia="Wingdings" w:hAnsi="Wingdings"/>
          <w:sz w:val="15"/>
          <w:szCs w:val="15"/>
          <w:b w:val="1"/>
          <w:bCs w:val="1"/>
          <w:color w:val="CF9F24"/>
        </w:rPr>
      </w:pPr>
    </w:p>
    <w:p>
      <w:pPr>
        <w:jc w:val="both"/>
        <w:ind w:left="600" w:right="840" w:hanging="302"/>
        <w:spacing w:after="0"/>
        <w:tabs>
          <w:tab w:leader="none" w:pos="600" w:val="left"/>
        </w:tabs>
        <w:numPr>
          <w:ilvl w:val="0"/>
          <w:numId w:val="18"/>
        </w:numPr>
        <w:rPr>
          <w:rFonts w:ascii="Wingdings" w:cs="Wingdings" w:eastAsia="Wingdings" w:hAnsi="Wingdings"/>
          <w:sz w:val="15"/>
          <w:szCs w:val="15"/>
          <w:b w:val="1"/>
          <w:bCs w:val="1"/>
          <w:color w:val="CF9F24"/>
        </w:rPr>
      </w:pPr>
      <w:r>
        <w:rPr>
          <w:rFonts w:ascii="Arial" w:cs="Arial" w:eastAsia="Arial" w:hAnsi="Arial"/>
          <w:sz w:val="18"/>
          <w:szCs w:val="18"/>
          <w:color w:val="auto"/>
        </w:rPr>
        <w:t>For all Named Executive Officers, 50% of the annual LTIP grants take the form of three-year cliff-vesting restricted shares and 50% take the form of three-year cliff-vesting performance shares. The performance target goal is typically set roughly equal to the 10-year Treasury yield plus 700 basis points (which is our long-term return target).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and CFO Transitions</w:t>
      </w:r>
      <w:r>
        <w:rPr>
          <w:rFonts w:ascii="Arial" w:cs="Arial" w:eastAsia="Arial" w:hAnsi="Arial"/>
          <w:sz w:val="18"/>
          <w:szCs w:val="18"/>
          <w:color w:val="auto"/>
        </w:rPr>
        <w:t>:</w:t>
      </w:r>
    </w:p>
    <w:p>
      <w:pPr>
        <w:spacing w:after="0" w:line="19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Another one of our most important responsibilities is succession planning for our CEO and other senior management positions. At least annually, the Committee reviews the CEO’s short-term and long-term succession plans for the CEO and other senior management positions and reports to the Board on succession planning. This year, the Company completed a thoughtfully planned and orderly transition with Liam Caffrey’s promotion to CEO and Michael Papamichael’s promotion to CFO. We are confident that owners will continue to prosper under our new leadership.</w:t>
      </w:r>
    </w:p>
    <w:p>
      <w:pPr>
        <w:spacing w:after="0" w:line="247"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CNG Committee is committed to ensuring that our executive compensation programs and governance practices continue to drive long-term value creation. We welcome your continued feedback.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White Mountains Insurance Group Compensation/Nominating &amp; Governance Committee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Philip A. Gelston, Chair | Margaret Dillon | Suzanne F. Shank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April 1, 2026</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4311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20"/>
          </w:cols>
          <w:pgMar w:left="320" w:top="815" w:right="35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and 2025 Performance Highlights</w:t>
      </w:r>
    </w:p>
    <w:p>
      <w:pPr>
        <w:spacing w:after="0" w:line="191" w:lineRule="exact"/>
        <w:rPr>
          <w:sz w:val="20"/>
          <w:szCs w:val="20"/>
          <w:color w:val="auto"/>
        </w:rPr>
      </w:pPr>
    </w:p>
    <w:p>
      <w:pPr>
        <w:ind w:right="40" w:firstLine="299"/>
        <w:spacing w:after="0" w:line="238" w:lineRule="auto"/>
        <w:rPr>
          <w:sz w:val="20"/>
          <w:szCs w:val="20"/>
          <w:color w:val="auto"/>
        </w:rPr>
      </w:pPr>
      <w:r>
        <w:rPr>
          <w:rFonts w:ascii="Arial" w:cs="Arial" w:eastAsia="Arial" w:hAnsi="Arial"/>
          <w:sz w:val="18"/>
          <w:szCs w:val="18"/>
          <w:color w:val="auto"/>
        </w:rPr>
        <w:t>White Mountains is engaged in the business of making opportunistic and value-oriented acquisitions primarily in the insurance, financial services and related sectors, operating these businesses through our subsidiaries and, if and when attractive exit valuations become available, selling these businesses for meaningful gains. Our principal focus is to grow our various book value per share metrics because we believe, based on the trading history of our stock, that over the long term our share price growth will follow our growth in these metrics (see chart and discussion on page 37). Since our IPO in 1985, including dividends, White Mountains has delivered 13% annualized growth in book value per share and 12% annualized growth in market value per share.</w:t>
      </w:r>
    </w:p>
    <w:p>
      <w:pPr>
        <w:spacing w:after="0" w:line="162" w:lineRule="exact"/>
        <w:rPr>
          <w:sz w:val="20"/>
          <w:szCs w:val="20"/>
          <w:color w:val="auto"/>
        </w:rPr>
      </w:pPr>
    </w:p>
    <w:p>
      <w:pPr>
        <w:ind w:firstLine="299"/>
        <w:spacing w:after="0" w:line="235" w:lineRule="auto"/>
        <w:rPr>
          <w:sz w:val="20"/>
          <w:szCs w:val="20"/>
          <w:color w:val="auto"/>
        </w:rPr>
      </w:pPr>
      <w:r>
        <w:rPr>
          <w:rFonts w:ascii="Arial" w:cs="Arial" w:eastAsia="Arial" w:hAnsi="Arial"/>
          <w:sz w:val="18"/>
          <w:szCs w:val="18"/>
          <w:color w:val="auto"/>
        </w:rPr>
        <w:t>We finished 2025 with book value per share of $2,188, an increase of 25% from the prior year. The successful sale of Bamboo in December was the biggest driver, adding roughly $320 to book value per share. Apart from Bamboo, the performance of our operating businesses was generally solid to very good. Ark had an excellent year, producing an 83% combined ratio while growing gross written premiums by 16%. Kudu had a good year, producing a 13% return on equity and deploying almost $200 million into three new managers. HG Global generated record premiums of $61 million, driven by strong activity in the primary and secondary markets, although book value growth was more muted. Our investment portfolio was up 9%, a good absolute return, although we trailed our benchmarks. During the year, we acquired a majority stake in Distinguished Programs, an MGA and program administrator for specialty property &amp; casualty insurance, and made a strategic investment in BroadStreet Partners, a top-10 North American insurance brokerage. White Mountains Partners completed its acquisition of Enterprise Solutions, a leading provider of specialty electrical contracting services. And, during the year, we repurchased roughly $200 million of shares at accretive prices.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Commitment to Ongoing Shareholder Engagement</w:t>
      </w:r>
    </w:p>
    <w:p>
      <w:pPr>
        <w:spacing w:after="0" w:line="191" w:lineRule="exact"/>
        <w:rPr>
          <w:sz w:val="20"/>
          <w:szCs w:val="20"/>
          <w:color w:val="auto"/>
        </w:rPr>
      </w:pPr>
    </w:p>
    <w:p>
      <w:pPr>
        <w:ind w:firstLine="299"/>
        <w:spacing w:after="0" w:line="250" w:lineRule="auto"/>
        <w:rPr>
          <w:sz w:val="20"/>
          <w:szCs w:val="20"/>
          <w:color w:val="auto"/>
        </w:rPr>
      </w:pPr>
      <w:r>
        <w:rPr>
          <w:rFonts w:ascii="Arial" w:cs="Arial" w:eastAsia="Arial" w:hAnsi="Arial"/>
          <w:sz w:val="18"/>
          <w:szCs w:val="18"/>
          <w:color w:val="auto"/>
        </w:rPr>
        <w:t>As part of our ongoing commitment to better understand the views of our shareholders with respect to our business, governance and compensation practices, we continued our investor outreach efforts in 2025. Feedback was positive and reflective of the 97% support received for the prior year say-on-pay resolution.</w:t>
      </w:r>
    </w:p>
    <w:p>
      <w:pPr>
        <w:spacing w:after="0" w:line="150" w:lineRule="exact"/>
        <w:rPr>
          <w:sz w:val="20"/>
          <w:szCs w:val="20"/>
          <w:color w:val="auto"/>
        </w:rPr>
      </w:pPr>
    </w:p>
    <w:p>
      <w:pPr>
        <w:ind w:firstLine="299"/>
        <w:spacing w:after="0" w:line="250" w:lineRule="auto"/>
        <w:rPr>
          <w:sz w:val="20"/>
          <w:szCs w:val="20"/>
          <w:color w:val="auto"/>
        </w:rPr>
      </w:pPr>
      <w:r>
        <w:rPr>
          <w:rFonts w:ascii="Arial" w:cs="Arial" w:eastAsia="Arial" w:hAnsi="Arial"/>
          <w:sz w:val="18"/>
          <w:szCs w:val="18"/>
          <w:color w:val="auto"/>
        </w:rPr>
        <w:t>Over the past several years, feedback received from these discussions has helped guide refinements to our executive compensation programs and governance practices, as well as enhancements to our public disclosures. A summary of these efforts in 2025, feedback received and our history of responsiveness is included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797560</wp:posOffset>
            </wp:positionH>
            <wp:positionV relativeFrom="paragraph">
              <wp:posOffset>100330</wp:posOffset>
            </wp:positionV>
            <wp:extent cx="5515610" cy="35159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15610" cy="351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0980"/>
          </w:cols>
          <w:pgMar w:left="320" w:top="815" w:right="5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Compensation Peer Group</w:t>
      </w:r>
    </w:p>
    <w:p>
      <w:pPr>
        <w:spacing w:after="0" w:line="191" w:lineRule="exact"/>
        <w:rPr>
          <w:sz w:val="20"/>
          <w:szCs w:val="20"/>
          <w:color w:val="auto"/>
        </w:rPr>
      </w:pPr>
    </w:p>
    <w:p>
      <w:pPr>
        <w:ind w:right="20" w:firstLine="299"/>
        <w:spacing w:after="0" w:line="237" w:lineRule="auto"/>
        <w:rPr>
          <w:sz w:val="20"/>
          <w:szCs w:val="20"/>
          <w:color w:val="auto"/>
        </w:rPr>
      </w:pPr>
      <w:r>
        <w:rPr>
          <w:rFonts w:ascii="Arial" w:cs="Arial" w:eastAsia="Arial" w:hAnsi="Arial"/>
          <w:sz w:val="18"/>
          <w:szCs w:val="18"/>
          <w:color w:val="auto"/>
        </w:rPr>
        <w:t xml:space="preserve">As described in more detail below, the CNG Committee reviews the compensation structures of a peer group as part of its evaluation of the Company’s compensation practices, but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for benchmarking compensation levels. As many of our subsidiaries are engaged in the business of insurance, we evaluate the executive compensation programs of a group of insurance company peers in terms of structure and variability of payouts in good and poor performance scenarios. However, unlike most of our insurance company peers, a primary responsibility of our parent company’s management is allocating capital and opportunistically finding and executing value-creating acquisitions and dispositions of operating businesses. Over the years, transaction gains have been a large driver of success in achieving our principal objective of growing our values per share.</w:t>
      </w:r>
    </w:p>
    <w:p>
      <w:pPr>
        <w:spacing w:after="0" w:line="162" w:lineRule="exact"/>
        <w:rPr>
          <w:sz w:val="20"/>
          <w:szCs w:val="20"/>
          <w:color w:val="auto"/>
        </w:rPr>
      </w:pPr>
    </w:p>
    <w:p>
      <w:pPr>
        <w:ind w:firstLine="299"/>
        <w:spacing w:after="0" w:line="236" w:lineRule="auto"/>
        <w:rPr>
          <w:sz w:val="20"/>
          <w:szCs w:val="20"/>
          <w:color w:val="auto"/>
        </w:rPr>
      </w:pPr>
      <w:r>
        <w:rPr>
          <w:rFonts w:ascii="Arial" w:cs="Arial" w:eastAsia="Arial" w:hAnsi="Arial"/>
          <w:sz w:val="18"/>
          <w:szCs w:val="18"/>
          <w:color w:val="auto"/>
        </w:rPr>
        <w:t xml:space="preserve">Given our differentiated business model relative to traditional insurance companies, we do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use the peer group to benchmark compensation. We believe that benchmarking against the insurance peer group could result in compensation that is not competitive for our talent pool. We seek to structure our compensation program to be less fixed and more variable than a traditional insurance company. When recruiting and retaining talented professionals, we compete against firms whose main business is derived from transactional activity, such as private equity and investment banking firms, and our compensation practices must reflect this reality. The CNG Committee takes account of the transactional component of our business when setting pay that is competitive and tied to rigorous performance goals. We believe our executive compensation program has driven tremendous value for shareholders, as evidenced by our long-term BVPS growth. BVPS reached $ 2,188 in 2025, up 25% year-over-year, and its growth over the last decade has been created in meaningful part through our transactions, as shown below.</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i w:val="1"/>
          <w:iCs w:val="1"/>
          <w:u w:val="single" w:color="auto"/>
          <w:color w:val="auto"/>
        </w:rPr>
        <w:t>Over the Past Decade Our Transactions Have Driven Growth in BVPS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133985</wp:posOffset>
            </wp:positionV>
            <wp:extent cx="4780280" cy="15722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780280" cy="1572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80" w:firstLine="299"/>
        <w:spacing w:after="0" w:line="270" w:lineRule="auto"/>
        <w:rPr>
          <w:sz w:val="20"/>
          <w:szCs w:val="20"/>
          <w:color w:val="auto"/>
        </w:rPr>
      </w:pPr>
      <w:r>
        <w:rPr>
          <w:rFonts w:ascii="Arial" w:cs="Arial" w:eastAsia="Arial" w:hAnsi="Arial"/>
          <w:sz w:val="18"/>
          <w:szCs w:val="18"/>
          <w:color w:val="auto"/>
        </w:rPr>
        <w:t>The CNG Committee believes that our compensation structure closely aligns the financial interests of management with those of our shareholders and encourages appropriate, but not excessive, risk-taking.</w:t>
      </w:r>
    </w:p>
    <w:p>
      <w:pPr>
        <w:spacing w:after="0" w:line="132" w:lineRule="exact"/>
        <w:rPr>
          <w:sz w:val="20"/>
          <w:szCs w:val="20"/>
          <w:color w:val="auto"/>
        </w:rPr>
      </w:pPr>
    </w:p>
    <w:p>
      <w:pPr>
        <w:ind w:right="100" w:firstLine="299"/>
        <w:spacing w:after="0" w:line="270" w:lineRule="auto"/>
        <w:rPr>
          <w:sz w:val="20"/>
          <w:szCs w:val="20"/>
          <w:color w:val="auto"/>
        </w:rPr>
      </w:pPr>
      <w:r>
        <w:rPr>
          <w:rFonts w:ascii="Arial" w:cs="Arial" w:eastAsia="Arial" w:hAnsi="Arial"/>
          <w:sz w:val="18"/>
          <w:szCs w:val="18"/>
          <w:color w:val="auto"/>
        </w:rPr>
        <w:t>The CNG Committee regularly evaluates the continuing appropriateness of our peer group. See page 36 for further details on our peer group.</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20"/>
          </w:cols>
          <w:pgMar w:left="320" w:top="815"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Compensation Program Aligned with Company Performance</w:t>
      </w:r>
    </w:p>
    <w:p>
      <w:pPr>
        <w:spacing w:after="0" w:line="191" w:lineRule="exact"/>
        <w:rPr>
          <w:sz w:val="20"/>
          <w:szCs w:val="20"/>
          <w:color w:val="auto"/>
        </w:rPr>
      </w:pPr>
    </w:p>
    <w:p>
      <w:pPr>
        <w:ind w:firstLine="299"/>
        <w:spacing w:after="0"/>
        <w:rPr>
          <w:sz w:val="20"/>
          <w:szCs w:val="20"/>
          <w:color w:val="auto"/>
        </w:rPr>
      </w:pPr>
      <w:r>
        <w:rPr>
          <w:rFonts w:ascii="Arial" w:cs="Arial" w:eastAsia="Arial" w:hAnsi="Arial"/>
          <w:sz w:val="18"/>
          <w:szCs w:val="18"/>
          <w:color w:val="auto"/>
        </w:rPr>
        <w:t>The current design of our compensation program consists of three primary elements: base salary, annual incentive bonus and long-term incentive compensation. Each element is structured with the primary goal of creating incentives for superior growth in our values per share over long periods of time. For many years, the Company’s return target has been 700 basis points over the yield on the 10-year Treasury. Absent unusual circumstances, the CNG Committee has set the target level for the annual incentive bonus and long-term incentives at this level.</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Highlights of our compensation program are as follows:</w:t>
      </w:r>
    </w:p>
    <w:p>
      <w:pPr>
        <w:spacing w:after="0" w:line="19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Elements and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135255</wp:posOffset>
            </wp:positionV>
            <wp:extent cx="5333365" cy="47567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33365" cy="4756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0" w:right="280" w:hanging="80"/>
        <w:spacing w:after="0" w:line="205" w:lineRule="auto"/>
        <w:tabs>
          <w:tab w:leader="none" w:pos="98" w:val="left"/>
        </w:tabs>
        <w:numPr>
          <w:ilvl w:val="0"/>
          <w:numId w:val="19"/>
        </w:numPr>
        <w:rPr>
          <w:rFonts w:ascii="Arial" w:cs="Arial" w:eastAsia="Arial" w:hAnsi="Arial"/>
          <w:sz w:val="22"/>
          <w:szCs w:val="22"/>
          <w:color w:val="auto"/>
          <w:vertAlign w:val="superscript"/>
        </w:rPr>
      </w:pPr>
      <w:r>
        <w:rPr>
          <w:rFonts w:ascii="Arial" w:cs="Arial" w:eastAsia="Arial" w:hAnsi="Arial"/>
          <w:sz w:val="13"/>
          <w:szCs w:val="13"/>
          <w:color w:val="auto"/>
        </w:rPr>
        <w:t>For calendar years 2025 and forward, CVPS is the average of growth in book value per share (BVPS) and growth in intrinsic value per share, which is the BVPS including franchise value adjustments to reflect a conservative estimate of the fair value of certain subsidiaries/affiliates carried at book value. For calendar years through 2024, CVPS is the average of growth in adjusted book value per share (ABVPS) and growth in intrinsic value per share. See Annex A for a reconciliation of growth in ABVPS and BVPS to growth in intrinsic value per share.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35" w:name="page36"/>
    <w:bookmarkEnd w:id="35"/>
    <w:p>
      <w:pPr>
        <w:ind w:right="100" w:firstLine="299"/>
        <w:spacing w:after="0"/>
        <w:rPr>
          <w:sz w:val="20"/>
          <w:szCs w:val="20"/>
          <w:color w:val="auto"/>
        </w:rPr>
      </w:pPr>
      <w:r>
        <w:rPr>
          <w:rFonts w:ascii="Arial" w:cs="Arial" w:eastAsia="Arial" w:hAnsi="Arial"/>
          <w:sz w:val="18"/>
          <w:szCs w:val="18"/>
          <w:color w:val="auto"/>
        </w:rPr>
        <w:t>We believe that the goal of creating superior growth in values per share over long periods of time is best pursued by utilizing a pay-for-performance program that closely aligns the financial interests of management with those of our shareholders while rewarding appropriate risk taking. We accomplish this by emphasizing variable long-term compensation, the value of which is tied to performance over a number of years, rather than fixed entitlements. To illustrate, 83% of our CEO’s 2025 target total direct compensation was linked to long-term incentives, while approximately 8% was made up of base salary and 8% was linked to annual cash bonus opportunity (at target).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r>
        <w:rPr>
          <w:rFonts w:ascii="Arial" w:cs="Arial" w:eastAsia="Arial" w:hAnsi="Arial"/>
          <w:sz w:val="30"/>
          <w:szCs w:val="30"/>
          <w:i w:val="1"/>
          <w:iCs w:val="1"/>
          <w:color w:val="auto"/>
          <w:vertAlign w:val="superscript"/>
        </w:rPr>
        <w:t>1</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5246370" cy="5372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46370" cy="53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0" w:hanging="118"/>
        <w:spacing w:after="0"/>
        <w:tabs>
          <w:tab w:leader="none" w:pos="200" w:val="left"/>
        </w:tabs>
        <w:numPr>
          <w:ilvl w:val="0"/>
          <w:numId w:val="20"/>
        </w:numPr>
        <w:rPr>
          <w:rFonts w:ascii="Arial" w:cs="Arial" w:eastAsia="Arial" w:hAnsi="Arial"/>
          <w:sz w:val="25"/>
          <w:szCs w:val="25"/>
          <w:color w:val="auto"/>
          <w:vertAlign w:val="superscript"/>
        </w:rPr>
      </w:pPr>
      <w:r>
        <w:rPr>
          <w:rFonts w:ascii="Arial" w:cs="Arial" w:eastAsia="Arial" w:hAnsi="Arial"/>
          <w:sz w:val="15"/>
          <w:szCs w:val="15"/>
          <w:color w:val="auto"/>
        </w:rPr>
        <w:t>Does not sum to 100% due to rounding.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133985</wp:posOffset>
            </wp:positionV>
            <wp:extent cx="5215255" cy="5689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15255" cy="568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Named Executive Officers</w:t>
      </w:r>
    </w:p>
    <w:p>
      <w:pPr>
        <w:spacing w:after="0" w:line="177" w:lineRule="exact"/>
        <w:rPr>
          <w:sz w:val="20"/>
          <w:szCs w:val="20"/>
          <w:color w:val="auto"/>
        </w:rPr>
      </w:pPr>
    </w:p>
    <w:p>
      <w:pPr>
        <w:ind w:right="680" w:firstLine="299"/>
        <w:spacing w:after="0" w:line="270" w:lineRule="auto"/>
        <w:rPr>
          <w:sz w:val="20"/>
          <w:szCs w:val="20"/>
          <w:color w:val="auto"/>
        </w:rPr>
      </w:pPr>
      <w:r>
        <w:rPr>
          <w:rFonts w:ascii="Arial" w:cs="Arial" w:eastAsia="Arial" w:hAnsi="Arial"/>
          <w:sz w:val="18"/>
          <w:szCs w:val="18"/>
          <w:color w:val="auto"/>
        </w:rPr>
        <w:t>In this CD&amp;A, we review the philosophy of White Mountains’s executive compensation program, the compensation process, the program’s elements and the 2025 and 2026 compensation decisions for our Named Executive Officers:</w:t>
      </w:r>
    </w:p>
    <w:p>
      <w:pPr>
        <w:spacing w:after="0" w:line="145"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3000" w:type="dxa"/>
            <w:vAlign w:val="bottom"/>
            <w:shd w:val="clear" w:color="auto" w:fill="002060"/>
          </w:tcPr>
          <w:p>
            <w:pPr>
              <w:spacing w:after="0"/>
              <w:rPr>
                <w:sz w:val="17"/>
                <w:szCs w:val="17"/>
                <w:color w:val="auto"/>
              </w:rPr>
            </w:pPr>
          </w:p>
        </w:tc>
        <w:tc>
          <w:tcPr>
            <w:tcW w:w="7680" w:type="dxa"/>
            <w:vAlign w:val="bottom"/>
            <w:shd w:val="clear" w:color="auto" w:fill="002060"/>
          </w:tcPr>
          <w:p>
            <w:pPr>
              <w:ind w:left="980"/>
              <w:spacing w:after="0"/>
              <w:rPr>
                <w:sz w:val="20"/>
                <w:szCs w:val="20"/>
                <w:color w:val="auto"/>
              </w:rPr>
            </w:pPr>
            <w:r>
              <w:rPr>
                <w:rFonts w:ascii="Arial" w:cs="Arial" w:eastAsia="Arial" w:hAnsi="Arial"/>
                <w:sz w:val="18"/>
                <w:szCs w:val="18"/>
                <w:b w:val="1"/>
                <w:bCs w:val="1"/>
                <w:color w:val="FFFFFF"/>
              </w:rPr>
              <w:t>2025 Named Executive Officers</w:t>
            </w:r>
          </w:p>
        </w:tc>
      </w:tr>
      <w:tr>
        <w:trPr>
          <w:trHeight w:val="249"/>
        </w:trPr>
        <w:tc>
          <w:tcPr>
            <w:tcW w:w="3000" w:type="dxa"/>
            <w:vAlign w:val="bottom"/>
          </w:tcPr>
          <w:p>
            <w:pPr>
              <w:ind w:left="80"/>
              <w:spacing w:after="0" w:line="249" w:lineRule="exact"/>
              <w:rPr>
                <w:sz w:val="20"/>
                <w:szCs w:val="20"/>
                <w:color w:val="auto"/>
              </w:rPr>
            </w:pPr>
            <w:r>
              <w:rPr>
                <w:rFonts w:ascii="Arial" w:cs="Arial" w:eastAsia="Arial" w:hAnsi="Arial"/>
                <w:sz w:val="17"/>
                <w:szCs w:val="17"/>
                <w:b w:val="1"/>
                <w:bCs w:val="1"/>
                <w:color w:val="auto"/>
              </w:rPr>
              <w:t>G. Manning Rountree</w:t>
            </w:r>
            <w:r>
              <w:rPr>
                <w:rFonts w:ascii="Arial" w:cs="Arial" w:eastAsia="Arial" w:hAnsi="Arial"/>
                <w:sz w:val="28"/>
                <w:szCs w:val="28"/>
                <w:b w:val="1"/>
                <w:bCs w:val="1"/>
                <w:color w:val="auto"/>
                <w:vertAlign w:val="superscript"/>
              </w:rPr>
              <w:t>1</w:t>
            </w:r>
          </w:p>
        </w:tc>
        <w:tc>
          <w:tcPr>
            <w:tcW w:w="7680" w:type="dxa"/>
            <w:vAlign w:val="bottom"/>
          </w:tcPr>
          <w:p>
            <w:pPr>
              <w:ind w:left="1460"/>
              <w:spacing w:after="0"/>
              <w:rPr>
                <w:sz w:val="20"/>
                <w:szCs w:val="20"/>
                <w:color w:val="auto"/>
              </w:rPr>
            </w:pPr>
            <w:r>
              <w:rPr>
                <w:rFonts w:ascii="Arial" w:cs="Arial" w:eastAsia="Arial" w:hAnsi="Arial"/>
                <w:sz w:val="18"/>
                <w:szCs w:val="18"/>
                <w:color w:val="auto"/>
              </w:rPr>
              <w:t>Chief Executive Officer</w:t>
            </w:r>
          </w:p>
        </w:tc>
      </w:tr>
      <w:tr>
        <w:trPr>
          <w:trHeight w:val="249"/>
        </w:trPr>
        <w:tc>
          <w:tcPr>
            <w:tcW w:w="3000" w:type="dxa"/>
            <w:vAlign w:val="bottom"/>
            <w:shd w:val="clear" w:color="auto" w:fill="C3D5EE"/>
          </w:tcPr>
          <w:p>
            <w:pPr>
              <w:ind w:left="80"/>
              <w:spacing w:after="0" w:line="249" w:lineRule="exact"/>
              <w:rPr>
                <w:sz w:val="20"/>
                <w:szCs w:val="20"/>
                <w:color w:val="auto"/>
              </w:rPr>
            </w:pPr>
            <w:r>
              <w:rPr>
                <w:rFonts w:ascii="Arial" w:cs="Arial" w:eastAsia="Arial" w:hAnsi="Arial"/>
                <w:sz w:val="17"/>
                <w:szCs w:val="17"/>
                <w:b w:val="1"/>
                <w:bCs w:val="1"/>
                <w:color w:val="auto"/>
              </w:rPr>
              <w:t>Liam P. Caffrey</w:t>
            </w:r>
            <w:r>
              <w:rPr>
                <w:rFonts w:ascii="Arial" w:cs="Arial" w:eastAsia="Arial" w:hAnsi="Arial"/>
                <w:sz w:val="28"/>
                <w:szCs w:val="28"/>
                <w:b w:val="1"/>
                <w:bCs w:val="1"/>
                <w:color w:val="auto"/>
                <w:vertAlign w:val="superscript"/>
              </w:rPr>
              <w:t>2</w:t>
            </w:r>
          </w:p>
        </w:tc>
        <w:tc>
          <w:tcPr>
            <w:tcW w:w="7680" w:type="dxa"/>
            <w:vAlign w:val="bottom"/>
            <w:shd w:val="clear" w:color="auto" w:fill="C3D5EE"/>
          </w:tcPr>
          <w:p>
            <w:pPr>
              <w:ind w:left="1460"/>
              <w:spacing w:after="0"/>
              <w:rPr>
                <w:sz w:val="20"/>
                <w:szCs w:val="20"/>
                <w:color w:val="auto"/>
              </w:rPr>
            </w:pPr>
            <w:r>
              <w:rPr>
                <w:rFonts w:ascii="Arial" w:cs="Arial" w:eastAsia="Arial" w:hAnsi="Arial"/>
                <w:sz w:val="18"/>
                <w:szCs w:val="18"/>
                <w:color w:val="auto"/>
              </w:rPr>
              <w:t>President &amp; Chief Financial Officer</w:t>
            </w:r>
          </w:p>
        </w:tc>
      </w:tr>
      <w:tr>
        <w:trPr>
          <w:trHeight w:val="249"/>
        </w:trPr>
        <w:tc>
          <w:tcPr>
            <w:tcW w:w="3000" w:type="dxa"/>
            <w:vAlign w:val="bottom"/>
          </w:tcPr>
          <w:p>
            <w:pPr>
              <w:ind w:left="80"/>
              <w:spacing w:after="0" w:line="249" w:lineRule="exact"/>
              <w:rPr>
                <w:sz w:val="20"/>
                <w:szCs w:val="20"/>
                <w:color w:val="auto"/>
              </w:rPr>
            </w:pPr>
            <w:r>
              <w:rPr>
                <w:rFonts w:ascii="Arial" w:cs="Arial" w:eastAsia="Arial" w:hAnsi="Arial"/>
                <w:sz w:val="17"/>
                <w:szCs w:val="17"/>
                <w:b w:val="1"/>
                <w:bCs w:val="1"/>
                <w:color w:val="auto"/>
              </w:rPr>
              <w:t>Giles E. Harrison</w:t>
            </w:r>
            <w:r>
              <w:rPr>
                <w:rFonts w:ascii="Arial" w:cs="Arial" w:eastAsia="Arial" w:hAnsi="Arial"/>
                <w:sz w:val="28"/>
                <w:szCs w:val="28"/>
                <w:b w:val="1"/>
                <w:bCs w:val="1"/>
                <w:color w:val="auto"/>
                <w:vertAlign w:val="superscript"/>
              </w:rPr>
              <w:t>3</w:t>
            </w:r>
          </w:p>
        </w:tc>
        <w:tc>
          <w:tcPr>
            <w:tcW w:w="7680" w:type="dxa"/>
            <w:vAlign w:val="bottom"/>
          </w:tcPr>
          <w:p>
            <w:pPr>
              <w:ind w:left="1460"/>
              <w:spacing w:after="0"/>
              <w:rPr>
                <w:sz w:val="20"/>
                <w:szCs w:val="20"/>
                <w:color w:val="auto"/>
              </w:rPr>
            </w:pPr>
            <w:r>
              <w:rPr>
                <w:rFonts w:ascii="Arial" w:cs="Arial" w:eastAsia="Arial" w:hAnsi="Arial"/>
                <w:sz w:val="18"/>
                <w:szCs w:val="18"/>
                <w:color w:val="auto"/>
              </w:rPr>
              <w:t>Executive Vice President &amp; Chief Strategy Officer</w:t>
            </w:r>
          </w:p>
        </w:tc>
      </w:tr>
      <w:tr>
        <w:trPr>
          <w:trHeight w:val="199"/>
        </w:trPr>
        <w:tc>
          <w:tcPr>
            <w:tcW w:w="3000" w:type="dxa"/>
            <w:vAlign w:val="bottom"/>
            <w:shd w:val="clear" w:color="auto" w:fill="C3D5EE"/>
          </w:tcPr>
          <w:p>
            <w:pPr>
              <w:ind w:left="80"/>
              <w:spacing w:after="0" w:line="199" w:lineRule="exact"/>
              <w:rPr>
                <w:sz w:val="20"/>
                <w:szCs w:val="20"/>
                <w:color w:val="auto"/>
              </w:rPr>
            </w:pPr>
            <w:r>
              <w:rPr>
                <w:rFonts w:ascii="Arial" w:cs="Arial" w:eastAsia="Arial" w:hAnsi="Arial"/>
                <w:sz w:val="18"/>
                <w:szCs w:val="18"/>
                <w:b w:val="1"/>
                <w:bCs w:val="1"/>
                <w:color w:val="auto"/>
              </w:rPr>
              <w:t>Robert L. Seelig</w:t>
            </w:r>
          </w:p>
        </w:tc>
        <w:tc>
          <w:tcPr>
            <w:tcW w:w="7680" w:type="dxa"/>
            <w:vAlign w:val="bottom"/>
            <w:shd w:val="clear" w:color="auto" w:fill="C3D5EE"/>
          </w:tcPr>
          <w:p>
            <w:pPr>
              <w:ind w:left="1460"/>
              <w:spacing w:after="0" w:line="199" w:lineRule="exact"/>
              <w:rPr>
                <w:sz w:val="20"/>
                <w:szCs w:val="20"/>
                <w:color w:val="auto"/>
              </w:rPr>
            </w:pPr>
            <w:r>
              <w:rPr>
                <w:rFonts w:ascii="Arial" w:cs="Arial" w:eastAsia="Arial" w:hAnsi="Arial"/>
                <w:sz w:val="18"/>
                <w:szCs w:val="18"/>
                <w:color w:val="auto"/>
              </w:rPr>
              <w:t>Executive Vice President &amp; General Counsel</w:t>
            </w:r>
          </w:p>
        </w:tc>
      </w:tr>
      <w:tr>
        <w:trPr>
          <w:trHeight w:val="251"/>
        </w:trPr>
        <w:tc>
          <w:tcPr>
            <w:tcW w:w="3000" w:type="dxa"/>
            <w:vAlign w:val="bottom"/>
          </w:tcPr>
          <w:p>
            <w:pPr>
              <w:ind w:left="80"/>
              <w:spacing w:after="0"/>
              <w:rPr>
                <w:sz w:val="20"/>
                <w:szCs w:val="20"/>
                <w:color w:val="auto"/>
              </w:rPr>
            </w:pPr>
            <w:r>
              <w:rPr>
                <w:rFonts w:ascii="Arial" w:cs="Arial" w:eastAsia="Arial" w:hAnsi="Arial"/>
                <w:sz w:val="18"/>
                <w:szCs w:val="18"/>
                <w:b w:val="1"/>
                <w:bCs w:val="1"/>
                <w:color w:val="auto"/>
              </w:rPr>
              <w:t>Michaela J. Hildreth</w:t>
            </w:r>
          </w:p>
        </w:tc>
        <w:tc>
          <w:tcPr>
            <w:tcW w:w="7680" w:type="dxa"/>
            <w:vAlign w:val="bottom"/>
          </w:tcPr>
          <w:p>
            <w:pPr>
              <w:ind w:left="1460"/>
              <w:spacing w:after="0"/>
              <w:rPr>
                <w:sz w:val="20"/>
                <w:szCs w:val="20"/>
                <w:color w:val="auto"/>
              </w:rPr>
            </w:pPr>
            <w:r>
              <w:rPr>
                <w:rFonts w:ascii="Arial" w:cs="Arial" w:eastAsia="Arial" w:hAnsi="Arial"/>
                <w:sz w:val="18"/>
                <w:szCs w:val="18"/>
                <w:color w:val="auto"/>
              </w:rPr>
              <w:t>Managing Director &amp; Chief Accounting Officer</w:t>
            </w:r>
          </w:p>
        </w:tc>
      </w:tr>
    </w:tbl>
    <w:p>
      <w:pPr>
        <w:spacing w:after="0" w:line="68" w:lineRule="exact"/>
        <w:rPr>
          <w:sz w:val="20"/>
          <w:szCs w:val="20"/>
          <w:color w:val="auto"/>
        </w:rPr>
      </w:pPr>
    </w:p>
    <w:p>
      <w:pPr>
        <w:ind w:left="380" w:right="360" w:hanging="5"/>
        <w:spacing w:after="0" w:line="187" w:lineRule="auto"/>
        <w:tabs>
          <w:tab w:leader="none" w:pos="504" w:val="left"/>
        </w:tabs>
        <w:numPr>
          <w:ilvl w:val="0"/>
          <w:numId w:val="21"/>
        </w:numPr>
        <w:rPr>
          <w:rFonts w:ascii="Arial" w:cs="Arial" w:eastAsia="Arial" w:hAnsi="Arial"/>
          <w:sz w:val="28"/>
          <w:szCs w:val="28"/>
          <w:color w:val="auto"/>
          <w:vertAlign w:val="superscript"/>
        </w:rPr>
      </w:pPr>
      <w:r>
        <w:rPr>
          <w:rFonts w:ascii="Arial" w:cs="Arial" w:eastAsia="Arial" w:hAnsi="Arial"/>
          <w:sz w:val="17"/>
          <w:szCs w:val="17"/>
          <w:color w:val="auto"/>
        </w:rPr>
        <w:t>Mr. Rountree retired as Chief Executive Officer on December 31, 2025, though he remains employed as a Senior Advisor and is no longer an executive officer.</w:t>
      </w:r>
    </w:p>
    <w:p>
      <w:pPr>
        <w:spacing w:after="0" w:line="1" w:lineRule="exact"/>
        <w:rPr>
          <w:rFonts w:ascii="Arial" w:cs="Arial" w:eastAsia="Arial" w:hAnsi="Arial"/>
          <w:sz w:val="28"/>
          <w:szCs w:val="28"/>
          <w:color w:val="auto"/>
          <w:vertAlign w:val="superscript"/>
        </w:rPr>
      </w:pPr>
    </w:p>
    <w:p>
      <w:pPr>
        <w:ind w:left="380" w:right="4940"/>
        <w:spacing w:after="0" w:line="218" w:lineRule="auto"/>
        <w:rPr>
          <w:rFonts w:ascii="Arial" w:cs="Arial" w:eastAsia="Arial" w:hAnsi="Arial"/>
          <w:sz w:val="28"/>
          <w:szCs w:val="28"/>
          <w:color w:val="auto"/>
          <w:vertAlign w:val="superscript"/>
        </w:rPr>
      </w:pPr>
      <w:r>
        <w:rPr>
          <w:rFonts w:ascii="Arial" w:cs="Arial" w:eastAsia="Arial" w:hAnsi="Arial"/>
          <w:sz w:val="27"/>
          <w:szCs w:val="27"/>
          <w:color w:val="auto"/>
          <w:vertAlign w:val="superscript"/>
        </w:rPr>
        <w:t>2</w:t>
      </w:r>
      <w:r>
        <w:rPr>
          <w:rFonts w:ascii="Arial" w:cs="Arial" w:eastAsia="Arial" w:hAnsi="Arial"/>
          <w:sz w:val="17"/>
          <w:szCs w:val="17"/>
          <w:color w:val="auto"/>
        </w:rPr>
        <w:t xml:space="preserve"> Mr. Caffrey was promoted to Chief Executive Officer, effective January 1, 2026. </w:t>
      </w:r>
      <w:r>
        <w:rPr>
          <w:rFonts w:ascii="Arial" w:cs="Arial" w:eastAsia="Arial" w:hAnsi="Arial"/>
          <w:sz w:val="27"/>
          <w:szCs w:val="27"/>
          <w:color w:val="auto"/>
          <w:vertAlign w:val="superscript"/>
        </w:rPr>
        <w:t>3</w:t>
      </w:r>
      <w:r>
        <w:rPr>
          <w:rFonts w:ascii="Arial" w:cs="Arial" w:eastAsia="Arial" w:hAnsi="Arial"/>
          <w:sz w:val="17"/>
          <w:szCs w:val="17"/>
          <w:color w:val="auto"/>
        </w:rPr>
        <w:t xml:space="preserve"> Mr. Harrison was promoted to President, effective January 1, 2026.</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CEO and CFO Transitions</w:t>
      </w:r>
    </w:p>
    <w:p>
      <w:pPr>
        <w:spacing w:after="0" w:line="189" w:lineRule="exact"/>
        <w:rPr>
          <w:sz w:val="20"/>
          <w:szCs w:val="20"/>
          <w:color w:val="auto"/>
        </w:rPr>
      </w:pPr>
    </w:p>
    <w:p>
      <w:pPr>
        <w:ind w:firstLine="299"/>
        <w:spacing w:after="0"/>
        <w:rPr>
          <w:sz w:val="20"/>
          <w:szCs w:val="20"/>
          <w:color w:val="auto"/>
        </w:rPr>
      </w:pPr>
      <w:r>
        <w:rPr>
          <w:rFonts w:ascii="Arial" w:cs="Arial" w:eastAsia="Arial" w:hAnsi="Arial"/>
          <w:sz w:val="18"/>
          <w:szCs w:val="18"/>
          <w:color w:val="auto"/>
        </w:rPr>
        <w:t>Manning Rountree retired as Chief Executive Officer and a member of the White Mountains Board on December 31, 2025. Mr. Rountree remains employed as a Senior Advisor through January 1, 2028. Following a thoughtful succession planning process undertaken by our Board including Mr. Rountree, Liam Caffrey was promoted to CEO and joined the White Mountains Board, effective January 1, 2026. Prior to joining White Mountains as CFO in 2022, Mr. Caffrey spent nine years at Aon PLC, where he most recently served as CEO of the Global Affinity Business. Prior to Aon, he worked at McKinsey &amp; Company.</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replace Mr. Caffrey, the Board promoted Michael Papamichael to the CFO role, effective January 1, 2026.</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20"/>
          </w:cols>
          <w:pgMar w:left="320" w:top="815"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Business Overview, Significant Transactions, and Performance Highlights</w:t>
      </w:r>
    </w:p>
    <w:p>
      <w:pPr>
        <w:spacing w:after="0" w:line="189" w:lineRule="exact"/>
        <w:rPr>
          <w:sz w:val="20"/>
          <w:szCs w:val="20"/>
          <w:color w:val="auto"/>
        </w:rPr>
      </w:pPr>
    </w:p>
    <w:p>
      <w:pPr>
        <w:ind w:right="40" w:firstLine="299"/>
        <w:spacing w:after="0" w:line="238" w:lineRule="auto"/>
        <w:rPr>
          <w:sz w:val="20"/>
          <w:szCs w:val="20"/>
          <w:color w:val="auto"/>
        </w:rPr>
      </w:pPr>
      <w:r>
        <w:rPr>
          <w:rFonts w:ascii="Arial" w:cs="Arial" w:eastAsia="Arial" w:hAnsi="Arial"/>
          <w:sz w:val="18"/>
          <w:szCs w:val="18"/>
          <w:color w:val="auto"/>
        </w:rPr>
        <w:t>White Mountains is engaged in the business of making opportunistic and value-oriented acquisitions primarily in the insurance, financial services and related sectors, operating these businesses through our subsidiaries and, if and when attractive exit valuations become available, selling these businesses for meaningful gains. Our principal focus is to grow our book value per share metrics because we believe, based on the trading history of our stock, that over the long term our share price growth will follow our growth in these metrics (see chart and discussion on page 37). Since our IPO in 1985, including dividends, White Mountains has delivered 13% annualized growth in book value per share and 12% annualized growth in market value per share.</w:t>
      </w:r>
    </w:p>
    <w:p>
      <w:pPr>
        <w:spacing w:after="0" w:line="162" w:lineRule="exact"/>
        <w:rPr>
          <w:sz w:val="20"/>
          <w:szCs w:val="20"/>
          <w:color w:val="auto"/>
        </w:rPr>
      </w:pPr>
    </w:p>
    <w:p>
      <w:pPr>
        <w:ind w:right="80" w:firstLine="299"/>
        <w:spacing w:after="0" w:line="250" w:lineRule="auto"/>
        <w:rPr>
          <w:sz w:val="20"/>
          <w:szCs w:val="20"/>
          <w:color w:val="auto"/>
        </w:rPr>
      </w:pPr>
      <w:r>
        <w:rPr>
          <w:rFonts w:ascii="Arial" w:cs="Arial" w:eastAsia="Arial" w:hAnsi="Arial"/>
          <w:sz w:val="18"/>
          <w:szCs w:val="18"/>
          <w:color w:val="auto"/>
        </w:rPr>
        <w:t>We finished 2025 with book value per share of $2,188, an increase of 25% from the prior year. The successful sale of Bamboo was the biggest driver, adding roughly $320 to book value per share. Apart from Bamboo, the performance of our other operating businesses was generally solid to very good, and absolute investment returns were good.</w:t>
      </w:r>
    </w:p>
    <w:p>
      <w:pPr>
        <w:spacing w:after="0" w:line="150" w:lineRule="exact"/>
        <w:rPr>
          <w:sz w:val="20"/>
          <w:szCs w:val="20"/>
          <w:color w:val="auto"/>
        </w:rPr>
      </w:pPr>
    </w:p>
    <w:p>
      <w:pPr>
        <w:ind w:firstLine="299"/>
        <w:spacing w:after="0" w:line="236" w:lineRule="auto"/>
        <w:rPr>
          <w:sz w:val="20"/>
          <w:szCs w:val="20"/>
          <w:color w:val="auto"/>
        </w:rPr>
      </w:pPr>
      <w:r>
        <w:rPr>
          <w:rFonts w:ascii="Arial" w:cs="Arial" w:eastAsia="Arial" w:hAnsi="Arial"/>
          <w:sz w:val="18"/>
          <w:szCs w:val="18"/>
          <w:color w:val="auto"/>
        </w:rPr>
        <w:t>In 2025, Ark had an excellent year, producing an 83% combined ratio while growing gross written premiums by 16%. Kudu had a good year, producing a 13% return on equity and deploying almost $200 million into three new managers. HG Global generated record premiums of $61 million, driven by strong activity in the primary and secondary markets, although book value growth was more muted. Our investment portfolio was up 9%, a good absolute return, although we trailed our benchmarks. During the year, we acquired a majority stake in Distinguished Programs, an MGA and program administrator for specialty property &amp; casualty insurance, and made a strategic investment in BroadStreet Partners, a top-10 North American insurance brokerage. White Mountains Partners completed its acquisition of Enterprise Solutions, a leading provider of specialty electrical contracting services. And, during the year, we repurchased roughly $200 million of shares at accretive prices.</w:t>
      </w:r>
    </w:p>
    <w:p>
      <w:pPr>
        <w:spacing w:after="0" w:line="164" w:lineRule="exact"/>
        <w:rPr>
          <w:sz w:val="20"/>
          <w:szCs w:val="20"/>
          <w:color w:val="auto"/>
        </w:rPr>
      </w:pPr>
    </w:p>
    <w:p>
      <w:pPr>
        <w:ind w:right="480" w:firstLine="299"/>
        <w:spacing w:after="0" w:line="270" w:lineRule="auto"/>
        <w:rPr>
          <w:sz w:val="20"/>
          <w:szCs w:val="20"/>
          <w:color w:val="auto"/>
        </w:rPr>
      </w:pPr>
      <w:r>
        <w:rPr>
          <w:rFonts w:ascii="Arial" w:cs="Arial" w:eastAsia="Arial" w:hAnsi="Arial"/>
          <w:sz w:val="18"/>
          <w:szCs w:val="18"/>
          <w:color w:val="auto"/>
        </w:rPr>
        <w:t>We believe the businesses we own today and our ability to deploy capital into further opportunistic and value-oriented acquisitions position us well for the future. The Company remains focused on creating shareholder value over the long term.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Engagement</w:t>
      </w:r>
    </w:p>
    <w:p>
      <w:pPr>
        <w:spacing w:after="0" w:line="189" w:lineRule="exact"/>
        <w:rPr>
          <w:sz w:val="20"/>
          <w:szCs w:val="20"/>
          <w:color w:val="auto"/>
        </w:rPr>
      </w:pPr>
    </w:p>
    <w:p>
      <w:pPr>
        <w:jc w:val="both"/>
        <w:ind w:right="40" w:firstLine="299"/>
        <w:spacing w:after="0" w:line="250" w:lineRule="auto"/>
        <w:rPr>
          <w:sz w:val="20"/>
          <w:szCs w:val="20"/>
          <w:color w:val="auto"/>
        </w:rPr>
      </w:pPr>
      <w:r>
        <w:rPr>
          <w:rFonts w:ascii="Arial" w:cs="Arial" w:eastAsia="Arial" w:hAnsi="Arial"/>
          <w:sz w:val="18"/>
          <w:szCs w:val="18"/>
          <w:color w:val="auto"/>
        </w:rPr>
        <w:t>Engaging with our owners is central to our commitment to good governance and critical to maintaining our strong corporate governance practices. Consistent with prior years, our 2025 shareholder outreach was led by the Board and senior management and also included our CNG Committee chair, Mr. Gelston, who provided a direct line of communication between the Board and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1058545</wp:posOffset>
            </wp:positionH>
            <wp:positionV relativeFrom="paragraph">
              <wp:posOffset>108585</wp:posOffset>
            </wp:positionV>
            <wp:extent cx="5033010" cy="10985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033010" cy="1098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760"/>
        <w:spacing w:after="0" w:line="285" w:lineRule="auto"/>
        <w:rPr>
          <w:sz w:val="20"/>
          <w:szCs w:val="20"/>
          <w:color w:val="auto"/>
        </w:rPr>
      </w:pPr>
      <w:r>
        <w:rPr>
          <w:rFonts w:ascii="Arial" w:cs="Arial" w:eastAsia="Arial" w:hAnsi="Arial"/>
          <w:sz w:val="15"/>
          <w:szCs w:val="15"/>
          <w:b w:val="1"/>
          <w:bCs w:val="1"/>
          <w:color w:val="auto"/>
        </w:rPr>
        <w:t>Our substantive conversations with our owners covered a variety of company strategy, business performance, corporate governance and executive compensation-related topics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79375</wp:posOffset>
            </wp:positionV>
            <wp:extent cx="5380990" cy="9563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380990" cy="956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37" w:name="page38"/>
    <w:bookmarkEnd w:id="37"/>
    <w:p>
      <w:pPr>
        <w:ind w:right="260" w:firstLine="299"/>
        <w:spacing w:after="0" w:line="250" w:lineRule="auto"/>
        <w:rPr>
          <w:sz w:val="20"/>
          <w:szCs w:val="20"/>
          <w:color w:val="auto"/>
        </w:rPr>
      </w:pPr>
      <w:r>
        <w:rPr>
          <w:rFonts w:ascii="Arial" w:cs="Arial" w:eastAsia="Arial" w:hAnsi="Arial"/>
          <w:sz w:val="18"/>
          <w:szCs w:val="18"/>
          <w:color w:val="auto"/>
        </w:rPr>
        <w:t>Shareholder feedback was positive and reflective of the 97% support for the prior year say-on-pay resolution. The feedback received from these meetings is shared with the entire Board and helps to inform the Company’s decision-making process regarding corporate governance, executive compensation, leadership succession, ESG and disclosure-related matters.</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are the areas of discussion and feedback most consistent in our dialogue with our shareholders:</w:t>
      </w:r>
    </w:p>
    <w:p>
      <w:pPr>
        <w:spacing w:after="0" w:line="141" w:lineRule="exact"/>
        <w:rPr>
          <w:sz w:val="20"/>
          <w:szCs w:val="20"/>
          <w:color w:val="auto"/>
        </w:rPr>
      </w:pPr>
    </w:p>
    <w:p>
      <w:pPr>
        <w:ind w:left="740" w:right="820" w:hanging="292"/>
        <w:spacing w:after="0" w:line="241"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business performance and outlook, leadership succession, board composition, corporate governance and executive compensation practices</w:t>
      </w:r>
    </w:p>
    <w:p>
      <w:pPr>
        <w:ind w:left="740" w:right="260" w:hanging="292"/>
        <w:spacing w:after="0" w:line="230"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Continued appreciation for our value creation, highlighting the sale of Bamboo as well as our thoughtful capital deployment and effective stewardship of capital</w:t>
      </w:r>
    </w:p>
    <w:p>
      <w:pPr>
        <w:spacing w:after="0" w:line="1" w:lineRule="exact"/>
        <w:rPr>
          <w:rFonts w:ascii="Arial" w:cs="Arial" w:eastAsia="Arial" w:hAnsi="Arial"/>
          <w:sz w:val="18"/>
          <w:szCs w:val="18"/>
          <w:color w:val="auto"/>
        </w:rPr>
      </w:pPr>
    </w:p>
    <w:p>
      <w:pPr>
        <w:ind w:left="740" w:hanging="292"/>
        <w:spacing w:after="0" w:line="230"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Continued support for our executive compensation program and its alignment of pay with Company performance</w:t>
      </w:r>
    </w:p>
    <w:p>
      <w:pPr>
        <w:ind w:left="740" w:hanging="292"/>
        <w:spacing w:after="0" w:line="230"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Recognition for our well-executed leadership succession</w:t>
      </w:r>
    </w:p>
    <w:p>
      <w:pPr>
        <w:ind w:left="740" w:hanging="292"/>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Appreciation of our commitment to board refreshment (four new directors since 2023)</w:t>
      </w:r>
    </w:p>
    <w:p>
      <w:pPr>
        <w:spacing w:after="0" w:line="173" w:lineRule="exact"/>
        <w:rPr>
          <w:sz w:val="20"/>
          <w:szCs w:val="20"/>
          <w:color w:val="auto"/>
        </w:rPr>
      </w:pPr>
    </w:p>
    <w:p>
      <w:pPr>
        <w:ind w:right="780" w:firstLine="299"/>
        <w:spacing w:after="0" w:line="461" w:lineRule="auto"/>
        <w:rPr>
          <w:sz w:val="20"/>
          <w:szCs w:val="20"/>
          <w:color w:val="auto"/>
        </w:rPr>
      </w:pPr>
      <w:r>
        <w:rPr>
          <w:rFonts w:ascii="Arial" w:cs="Arial" w:eastAsia="Arial" w:hAnsi="Arial"/>
          <w:sz w:val="18"/>
          <w:szCs w:val="18"/>
          <w:color w:val="auto"/>
        </w:rPr>
        <w:t xml:space="preserve">The Company’s management and Board of Directors are committed to continuing its extensive shareholder outreach program. </w:t>
      </w:r>
      <w:r>
        <w:rPr>
          <w:rFonts w:ascii="Arial" w:cs="Arial" w:eastAsia="Arial" w:hAnsi="Arial"/>
          <w:sz w:val="18"/>
          <w:szCs w:val="18"/>
          <w:b w:val="1"/>
          <w:bCs w:val="1"/>
          <w:i w:val="1"/>
          <w:iCs w:val="1"/>
          <w:color w:val="auto"/>
        </w:rPr>
        <w:t>Compensation Philosophy</w:t>
      </w:r>
    </w:p>
    <w:p>
      <w:pPr>
        <w:spacing w:after="0" w:line="1" w:lineRule="exact"/>
        <w:rPr>
          <w:sz w:val="20"/>
          <w:szCs w:val="20"/>
          <w:color w:val="auto"/>
        </w:rPr>
      </w:pPr>
    </w:p>
    <w:p>
      <w:pPr>
        <w:ind w:firstLine="299"/>
        <w:spacing w:after="0" w:line="236" w:lineRule="auto"/>
        <w:rPr>
          <w:sz w:val="20"/>
          <w:szCs w:val="20"/>
          <w:color w:val="auto"/>
        </w:rPr>
      </w:pPr>
      <w:r>
        <w:rPr>
          <w:rFonts w:ascii="Arial" w:cs="Arial" w:eastAsia="Arial" w:hAnsi="Arial"/>
          <w:sz w:val="18"/>
          <w:szCs w:val="18"/>
          <w:color w:val="auto"/>
        </w:rPr>
        <w:t xml:space="preserve">Our executive compensation policies are designed with the primary goal of creating incentives for superior growth in our values per share over long periods of time. We believe that this goal is best pursued by utilizing a pay-for-performance program that closely aligns the financial interests of management with those of our shareholders while rewarding appropriate risk taking. We accomplish this by emphasizing variable long-term compensation, the value of which is tied to performance over a number of years, rather than fixed entitlements (such as base salary, pensions, and employee benefits). To that end, the CNG Committee has established base salaries and target annual bonuses for our executives that tend to be lower than those paid by other property and casualty insurers and reinsurers, while granting the bulk of an executive's target compensation as long-term incentive compensation. To illustrate, approximately </w:t>
      </w:r>
      <w:r>
        <w:rPr>
          <w:rFonts w:ascii="Arial" w:cs="Arial" w:eastAsia="Arial" w:hAnsi="Arial"/>
          <w:sz w:val="18"/>
          <w:szCs w:val="18"/>
          <w:b w:val="1"/>
          <w:bCs w:val="1"/>
          <w:color w:val="auto"/>
        </w:rPr>
        <w:t>83% of our</w:t>
      </w:r>
      <w:r>
        <w:rPr>
          <w:rFonts w:ascii="Arial" w:cs="Arial" w:eastAsia="Arial" w:hAnsi="Arial"/>
          <w:sz w:val="18"/>
          <w:szCs w:val="18"/>
          <w:color w:val="auto"/>
        </w:rPr>
        <w:t xml:space="preserve"> </w:t>
      </w:r>
      <w:r>
        <w:rPr>
          <w:rFonts w:ascii="Arial" w:cs="Arial" w:eastAsia="Arial" w:hAnsi="Arial"/>
          <w:sz w:val="18"/>
          <w:szCs w:val="18"/>
          <w:b w:val="1"/>
          <w:bCs w:val="1"/>
          <w:color w:val="auto"/>
        </w:rPr>
        <w:t>CEO’s 2025 target total direct compensation was linked to long-term incentives</w:t>
      </w:r>
      <w:r>
        <w:rPr>
          <w:rFonts w:ascii="Arial" w:cs="Arial" w:eastAsia="Arial" w:hAnsi="Arial"/>
          <w:sz w:val="18"/>
          <w:szCs w:val="18"/>
          <w:color w:val="auto"/>
        </w:rPr>
        <w:t>, while approximately 8% was made up of 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and 8% was target annual cash bonus opportunity.</w:t>
      </w:r>
    </w:p>
    <w:p>
      <w:pPr>
        <w:spacing w:after="0" w:line="159" w:lineRule="exact"/>
        <w:rPr>
          <w:sz w:val="20"/>
          <w:szCs w:val="20"/>
          <w:color w:val="auto"/>
        </w:rPr>
      </w:pPr>
    </w:p>
    <w:p>
      <w:pPr>
        <w:ind w:right="320" w:firstLine="299"/>
        <w:spacing w:after="0" w:line="270" w:lineRule="auto"/>
        <w:rPr>
          <w:sz w:val="20"/>
          <w:szCs w:val="20"/>
          <w:color w:val="auto"/>
        </w:rPr>
      </w:pPr>
      <w:r>
        <w:rPr>
          <w:rFonts w:ascii="Arial" w:cs="Arial" w:eastAsia="Arial" w:hAnsi="Arial"/>
          <w:sz w:val="18"/>
          <w:szCs w:val="18"/>
          <w:color w:val="auto"/>
        </w:rPr>
        <w:t>The following principles guide and inform the CNG Committee’s efforts to deliver a highly effective executive compensation program that drives shareholder value and fosters the attraction and motivation of key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65405</wp:posOffset>
            </wp:positionV>
            <wp:extent cx="5475605" cy="131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475605"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Setting Process</w:t>
      </w:r>
    </w:p>
    <w:p>
      <w:pPr>
        <w:spacing w:after="0" w:line="189" w:lineRule="exact"/>
        <w:rPr>
          <w:sz w:val="20"/>
          <w:szCs w:val="20"/>
          <w:color w:val="auto"/>
        </w:rPr>
      </w:pPr>
    </w:p>
    <w:p>
      <w:pPr>
        <w:ind w:right="20" w:firstLine="299"/>
        <w:spacing w:after="0" w:line="237" w:lineRule="auto"/>
        <w:rPr>
          <w:sz w:val="20"/>
          <w:szCs w:val="20"/>
          <w:color w:val="auto"/>
        </w:rPr>
      </w:pPr>
      <w:r>
        <w:rPr>
          <w:rFonts w:ascii="Arial" w:cs="Arial" w:eastAsia="Arial" w:hAnsi="Arial"/>
          <w:sz w:val="18"/>
          <w:szCs w:val="18"/>
          <w:color w:val="auto"/>
        </w:rPr>
        <w:t>The CNG Committee is responsible for approving our compensation programs for executive officers, and it specifically approves all compensation for our executive officers and for any employee with target annual compensation in excess of $1.5 million. Our CEO annually presents to the CNG Committee his evaluation of our executives, their individual performance, achievements and the contributions they made to the Company's accomplishments over the past year and over the most recent long-term incentive plan cycle. In connection with this evaluation, the CEO recommends to the CNG Committee appropriate compensation amounts for these executives. The CNG Committee evaluates these recommendations and also assesses the performance, responsibilities and contributions of the CEO, considers CEO succession plans and sets the CEO compensation.</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790" w:right="339" w:bottom="1440" w:gutter="0" w:footer="0" w:header="0"/>
        </w:sectPr>
      </w:pPr>
    </w:p>
    <w:bookmarkStart w:id="38" w:name="page39"/>
    <w:bookmarkEnd w:id="38"/>
    <w:p>
      <w:pPr>
        <w:ind w:firstLine="299"/>
        <w:spacing w:after="0" w:line="244" w:lineRule="auto"/>
        <w:rPr>
          <w:sz w:val="20"/>
          <w:szCs w:val="20"/>
          <w:color w:val="auto"/>
        </w:rPr>
      </w:pPr>
      <w:r>
        <w:rPr>
          <w:rFonts w:ascii="Arial" w:cs="Arial" w:eastAsia="Arial" w:hAnsi="Arial"/>
          <w:sz w:val="18"/>
          <w:szCs w:val="18"/>
          <w:color w:val="auto"/>
        </w:rPr>
        <w:t>With the exception of significant promotions and new hires, compensation matters are usually addressed at the first meeting of the CNG Committee each year (typically late February), following the availability of financial results for the prior year and the current year’s financial plan. This allows us to determine the results of prior period grants and to set targets for the current year and newest long-term performance cycle. Performance cycles for long-term compensation typically run for three years beginning on January 1st of the year of grant.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Peer Group</w:t>
      </w:r>
    </w:p>
    <w:p>
      <w:pPr>
        <w:spacing w:after="0" w:line="189" w:lineRule="exact"/>
        <w:rPr>
          <w:sz w:val="20"/>
          <w:szCs w:val="20"/>
          <w:color w:val="auto"/>
        </w:rPr>
      </w:pPr>
    </w:p>
    <w:p>
      <w:pPr>
        <w:jc w:val="both"/>
        <w:ind w:right="20" w:firstLine="299"/>
        <w:spacing w:after="0" w:line="244" w:lineRule="auto"/>
        <w:rPr>
          <w:sz w:val="20"/>
          <w:szCs w:val="20"/>
          <w:color w:val="auto"/>
        </w:rPr>
      </w:pPr>
      <w:r>
        <w:rPr>
          <w:rFonts w:ascii="Arial" w:cs="Arial" w:eastAsia="Arial" w:hAnsi="Arial"/>
          <w:sz w:val="18"/>
          <w:szCs w:val="18"/>
          <w:color w:val="auto"/>
        </w:rPr>
        <w:t>When making new long-term incentive grants, the CNG Committee assesses the impact of different performance scenarios on potential realizable compensation. Further, in order to test our beliefs about the structure and variability of the awards we make, the CNG Committee annually reviews and considers a systematic analysis of the public compensation disclosures made by other property and casualty insurers and reinsurers that the CNG Committee uses as peers.</w:t>
      </w:r>
    </w:p>
    <w:p>
      <w:pPr>
        <w:spacing w:after="0" w:line="154" w:lineRule="exact"/>
        <w:rPr>
          <w:sz w:val="20"/>
          <w:szCs w:val="20"/>
          <w:color w:val="auto"/>
        </w:rPr>
      </w:pPr>
    </w:p>
    <w:p>
      <w:pPr>
        <w:ind w:right="720" w:firstLine="299"/>
        <w:spacing w:after="0" w:line="256" w:lineRule="auto"/>
        <w:rPr>
          <w:sz w:val="20"/>
          <w:szCs w:val="20"/>
          <w:color w:val="auto"/>
        </w:rPr>
      </w:pPr>
      <w:r>
        <w:rPr>
          <w:rFonts w:ascii="Arial" w:cs="Arial" w:eastAsia="Arial" w:hAnsi="Arial"/>
          <w:sz w:val="18"/>
          <w:szCs w:val="18"/>
          <w:b w:val="1"/>
          <w:bCs w:val="1"/>
          <w:color w:val="auto"/>
        </w:rPr>
        <w:t xml:space="preserve">Importantly, our compensation peer group is </w:t>
      </w:r>
      <w:r>
        <w:rPr>
          <w:rFonts w:ascii="Arial" w:cs="Arial" w:eastAsia="Arial" w:hAnsi="Arial"/>
          <w:sz w:val="18"/>
          <w:szCs w:val="18"/>
          <w:b w:val="1"/>
          <w:bCs w:val="1"/>
          <w:u w:val="single" w:color="auto"/>
          <w:color w:val="auto"/>
        </w:rPr>
        <w:t>not</w:t>
      </w:r>
      <w:r>
        <w:rPr>
          <w:rFonts w:ascii="Arial" w:cs="Arial" w:eastAsia="Arial" w:hAnsi="Arial"/>
          <w:sz w:val="18"/>
          <w:szCs w:val="18"/>
          <w:b w:val="1"/>
          <w:bCs w:val="1"/>
          <w:color w:val="auto"/>
        </w:rPr>
        <w:t xml:space="preserve"> used for benchmarking purposes, but rather to analyze whether our compensation programs are appropriately structured and to ensure they are less fixed and more variable than most other insurance and reinsurance peers</w:t>
      </w:r>
      <w:r>
        <w:rPr>
          <w:rFonts w:ascii="Arial" w:cs="Arial" w:eastAsia="Arial" w:hAnsi="Arial"/>
          <w:sz w:val="18"/>
          <w:szCs w:val="18"/>
          <w:color w:val="auto"/>
        </w:rPr>
        <w:t>.</w:t>
      </w:r>
    </w:p>
    <w:p>
      <w:pPr>
        <w:spacing w:after="0" w:line="134" w:lineRule="exact"/>
        <w:rPr>
          <w:sz w:val="20"/>
          <w:szCs w:val="20"/>
          <w:color w:val="auto"/>
        </w:rPr>
      </w:pPr>
    </w:p>
    <w:p>
      <w:pPr>
        <w:ind w:right="180" w:firstLine="299"/>
        <w:spacing w:after="0"/>
        <w:rPr>
          <w:sz w:val="20"/>
          <w:szCs w:val="20"/>
          <w:color w:val="auto"/>
        </w:rPr>
      </w:pPr>
      <w:r>
        <w:rPr>
          <w:rFonts w:ascii="Arial" w:cs="Arial" w:eastAsia="Arial" w:hAnsi="Arial"/>
          <w:sz w:val="18"/>
          <w:szCs w:val="18"/>
          <w:color w:val="auto"/>
        </w:rPr>
        <w:t>As many of our subsidiaries are insurance companies, we evaluate the executive compensation programs of a group of insurance company peers in terms of structure and variability of payouts in good and poor performance scenarios. However, unlike most of our insurance company peers, a primary responsibility of our parent company’s management is allocating capital and opportunistically finding and executing value-creating acquisitions and dispositions of operating businesses. Over the years, transaction gains have been a large driver of success in achieving our principal objective of growing our values per share.</w:t>
      </w:r>
    </w:p>
    <w:p>
      <w:pPr>
        <w:spacing w:after="0" w:line="160" w:lineRule="exact"/>
        <w:rPr>
          <w:sz w:val="20"/>
          <w:szCs w:val="20"/>
          <w:color w:val="auto"/>
        </w:rPr>
      </w:pPr>
    </w:p>
    <w:p>
      <w:pPr>
        <w:ind w:right="100" w:firstLine="299"/>
        <w:spacing w:after="0" w:line="236" w:lineRule="auto"/>
        <w:rPr>
          <w:sz w:val="20"/>
          <w:szCs w:val="20"/>
          <w:color w:val="auto"/>
        </w:rPr>
      </w:pPr>
      <w:r>
        <w:rPr>
          <w:rFonts w:ascii="Arial" w:cs="Arial" w:eastAsia="Arial" w:hAnsi="Arial"/>
          <w:sz w:val="18"/>
          <w:szCs w:val="18"/>
          <w:color w:val="auto"/>
        </w:rPr>
        <w:t>Given our differentiated model relative to insurance company peers, we do not use the peer group to benchmark compensation. We believe that benchmarking against the peer group could result in compensation that is not competitive for our talent pool. We seek to structure our compensation program to be less fixed and more variable than our insurance peers. When recruiting and retaining talented professionals, we compete against firms whose main business is derived from transactional activity, such as private equity and investment banking firms, and our compensation practices must reflect this reality. The CNG Committee takes account of the transactional component of our business when setting pay that is competitive and tied to rigorous performance goals. We believe our executive compensation program has driven tremendous value for shareholders, as evidenced by our long-term BVPS growth. BVPS reached $2,188 in 2025, up 25% year-over-year, and has grown steadily over the last decade in meaningful part through our transactions, as shown on pages 31 and 37.</w:t>
      </w:r>
    </w:p>
    <w:p>
      <w:pPr>
        <w:spacing w:after="0" w:line="159" w:lineRule="exact"/>
        <w:rPr>
          <w:sz w:val="20"/>
          <w:szCs w:val="20"/>
          <w:color w:val="auto"/>
        </w:rPr>
      </w:pPr>
    </w:p>
    <w:p>
      <w:pPr>
        <w:ind w:right="20" w:firstLine="299"/>
        <w:spacing w:after="0" w:line="244" w:lineRule="auto"/>
        <w:rPr>
          <w:sz w:val="20"/>
          <w:szCs w:val="20"/>
          <w:color w:val="auto"/>
        </w:rPr>
      </w:pPr>
      <w:r>
        <w:rPr>
          <w:rFonts w:ascii="Arial" w:cs="Arial" w:eastAsia="Arial" w:hAnsi="Arial"/>
          <w:sz w:val="18"/>
          <w:szCs w:val="18"/>
          <w:color w:val="auto"/>
        </w:rPr>
        <w:t>In considering its analysis of compensation structure and variability, the Company uses a peer group of insurance companies that engage in business similar to the business conducted by some of our subsidiaries. The CNG Committee regularly evaluates the continuing appropriateness of this group and did so again during 2025. The companies included in the analysis presented to the CNG Committee prior to it making compensation decisions in 2025 were unchanged from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111125</wp:posOffset>
            </wp:positionV>
            <wp:extent cx="6424295" cy="3238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424295" cy="323850"/>
                    </a:xfrm>
                    <a:prstGeom prst="rect">
                      <a:avLst/>
                    </a:prstGeom>
                    <a:noFill/>
                  </pic:spPr>
                </pic:pic>
              </a:graphicData>
            </a:graphic>
          </wp:anchor>
        </w:drawing>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2025 Peer Group</w:t>
      </w:r>
    </w:p>
    <w:p>
      <w:pPr>
        <w:spacing w:after="0" w:line="44" w:lineRule="exact"/>
        <w:rPr>
          <w:sz w:val="20"/>
          <w:szCs w:val="20"/>
          <w:color w:val="auto"/>
        </w:rPr>
      </w:pPr>
    </w:p>
    <w:tbl>
      <w:tblPr>
        <w:tblLayout w:type="fixed"/>
        <w:tblInd w:w="580" w:type="dxa"/>
        <w:tblCellMar>
          <w:top w:w="0" w:type="dxa"/>
          <w:left w:w="0" w:type="dxa"/>
          <w:bottom w:w="0" w:type="dxa"/>
          <w:right w:w="0" w:type="dxa"/>
        </w:tblCellMar>
      </w:tblPr>
      <w:tr>
        <w:trPr>
          <w:trHeight w:val="218"/>
        </w:trPr>
        <w:tc>
          <w:tcPr>
            <w:tcW w:w="300" w:type="dxa"/>
            <w:vAlign w:val="bottom"/>
            <w:shd w:val="clear" w:color="auto" w:fill="E7E6E6"/>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2940" w:type="dxa"/>
            <w:vAlign w:val="bottom"/>
          </w:tcPr>
          <w:p>
            <w:pPr>
              <w:ind w:left="80"/>
              <w:spacing w:after="0"/>
              <w:rPr>
                <w:sz w:val="20"/>
                <w:szCs w:val="20"/>
                <w:color w:val="auto"/>
              </w:rPr>
            </w:pPr>
            <w:r>
              <w:rPr>
                <w:rFonts w:ascii="Arial" w:cs="Arial" w:eastAsia="Arial" w:hAnsi="Arial"/>
                <w:sz w:val="17"/>
                <w:szCs w:val="17"/>
                <w:color w:val="auto"/>
              </w:rPr>
              <w:t>Arch Capital Group</w:t>
            </w:r>
          </w:p>
        </w:tc>
        <w:tc>
          <w:tcPr>
            <w:tcW w:w="400" w:type="dxa"/>
            <w:vAlign w:val="bottom"/>
          </w:tcPr>
          <w:p>
            <w:pPr>
              <w:ind w:left="80"/>
              <w:spacing w:after="0"/>
              <w:rPr>
                <w:sz w:val="20"/>
                <w:szCs w:val="20"/>
                <w:color w:val="auto"/>
              </w:rPr>
            </w:pPr>
            <w:r>
              <w:rPr>
                <w:rFonts w:ascii="Arial" w:cs="Arial" w:eastAsia="Arial" w:hAnsi="Arial"/>
                <w:sz w:val="17"/>
                <w:szCs w:val="17"/>
                <w:color w:val="auto"/>
              </w:rPr>
              <w:t>●</w:t>
            </w:r>
          </w:p>
        </w:tc>
        <w:tc>
          <w:tcPr>
            <w:tcW w:w="2820" w:type="dxa"/>
            <w:vAlign w:val="bottom"/>
          </w:tcPr>
          <w:p>
            <w:pPr>
              <w:ind w:left="80"/>
              <w:spacing w:after="0"/>
              <w:rPr>
                <w:sz w:val="20"/>
                <w:szCs w:val="20"/>
                <w:color w:val="auto"/>
              </w:rPr>
            </w:pPr>
            <w:r>
              <w:rPr>
                <w:rFonts w:ascii="Arial" w:cs="Arial" w:eastAsia="Arial" w:hAnsi="Arial"/>
                <w:sz w:val="17"/>
                <w:szCs w:val="17"/>
                <w:color w:val="auto"/>
              </w:rPr>
              <w:t>Hanover</w:t>
            </w:r>
          </w:p>
        </w:tc>
        <w:tc>
          <w:tcPr>
            <w:tcW w:w="340" w:type="dxa"/>
            <w:vAlign w:val="bottom"/>
          </w:tcPr>
          <w:p>
            <w:pPr>
              <w:ind w:left="80"/>
              <w:spacing w:after="0"/>
              <w:rPr>
                <w:sz w:val="20"/>
                <w:szCs w:val="20"/>
                <w:color w:val="auto"/>
              </w:rPr>
            </w:pPr>
            <w:r>
              <w:rPr>
                <w:rFonts w:ascii="Arial" w:cs="Arial" w:eastAsia="Arial" w:hAnsi="Arial"/>
                <w:sz w:val="17"/>
                <w:szCs w:val="17"/>
                <w:color w:val="auto"/>
              </w:rPr>
              <w:t>●</w:t>
            </w:r>
          </w:p>
        </w:tc>
        <w:tc>
          <w:tcPr>
            <w:tcW w:w="2880" w:type="dxa"/>
            <w:vAlign w:val="bottom"/>
          </w:tcPr>
          <w:p>
            <w:pPr>
              <w:ind w:left="140"/>
              <w:spacing w:after="0"/>
              <w:rPr>
                <w:sz w:val="20"/>
                <w:szCs w:val="20"/>
                <w:color w:val="auto"/>
              </w:rPr>
            </w:pPr>
            <w:r>
              <w:rPr>
                <w:rFonts w:ascii="Arial" w:cs="Arial" w:eastAsia="Arial" w:hAnsi="Arial"/>
                <w:sz w:val="17"/>
                <w:szCs w:val="17"/>
                <w:color w:val="auto"/>
              </w:rPr>
              <w:t>RLI Corp.</w:t>
            </w:r>
          </w:p>
        </w:tc>
      </w:tr>
      <w:tr>
        <w:trPr>
          <w:trHeight w:val="178"/>
        </w:trPr>
        <w:tc>
          <w:tcPr>
            <w:tcW w:w="300" w:type="dxa"/>
            <w:vAlign w:val="bottom"/>
            <w:shd w:val="clear" w:color="auto" w:fill="E7E6E6"/>
          </w:tcPr>
          <w:p>
            <w:pPr>
              <w:spacing w:after="0"/>
              <w:rPr>
                <w:sz w:val="15"/>
                <w:szCs w:val="15"/>
                <w:color w:val="auto"/>
              </w:rPr>
            </w:pPr>
          </w:p>
        </w:tc>
        <w:tc>
          <w:tcPr>
            <w:tcW w:w="420" w:type="dxa"/>
            <w:vAlign w:val="bottom"/>
            <w:shd w:val="clear" w:color="auto" w:fill="E7E6E6"/>
          </w:tcPr>
          <w:p>
            <w:pPr>
              <w:ind w:left="80"/>
              <w:spacing w:after="0" w:line="178" w:lineRule="exact"/>
              <w:rPr>
                <w:sz w:val="20"/>
                <w:szCs w:val="20"/>
                <w:color w:val="auto"/>
              </w:rPr>
            </w:pPr>
            <w:r>
              <w:rPr>
                <w:rFonts w:ascii="Arial" w:cs="Arial" w:eastAsia="Arial" w:hAnsi="Arial"/>
                <w:sz w:val="18"/>
                <w:szCs w:val="18"/>
                <w:color w:val="auto"/>
              </w:rPr>
              <w:t>●</w:t>
            </w:r>
          </w:p>
        </w:tc>
        <w:tc>
          <w:tcPr>
            <w:tcW w:w="2940" w:type="dxa"/>
            <w:vAlign w:val="bottom"/>
            <w:shd w:val="clear" w:color="auto" w:fill="E7E6E6"/>
          </w:tcPr>
          <w:p>
            <w:pPr>
              <w:ind w:left="80"/>
              <w:spacing w:after="0" w:line="178" w:lineRule="exact"/>
              <w:rPr>
                <w:sz w:val="20"/>
                <w:szCs w:val="20"/>
                <w:color w:val="auto"/>
              </w:rPr>
            </w:pPr>
            <w:r>
              <w:rPr>
                <w:rFonts w:ascii="Arial" w:cs="Arial" w:eastAsia="Arial" w:hAnsi="Arial"/>
                <w:sz w:val="17"/>
                <w:szCs w:val="17"/>
                <w:color w:val="auto"/>
              </w:rPr>
              <w:t>Assured Guaranty</w:t>
            </w:r>
          </w:p>
        </w:tc>
        <w:tc>
          <w:tcPr>
            <w:tcW w:w="400" w:type="dxa"/>
            <w:vAlign w:val="bottom"/>
            <w:shd w:val="clear" w:color="auto" w:fill="E7E6E6"/>
          </w:tcPr>
          <w:p>
            <w:pPr>
              <w:ind w:left="80"/>
              <w:spacing w:after="0" w:line="178" w:lineRule="exact"/>
              <w:rPr>
                <w:sz w:val="20"/>
                <w:szCs w:val="20"/>
                <w:color w:val="auto"/>
              </w:rPr>
            </w:pPr>
            <w:r>
              <w:rPr>
                <w:rFonts w:ascii="Arial" w:cs="Arial" w:eastAsia="Arial" w:hAnsi="Arial"/>
                <w:sz w:val="17"/>
                <w:szCs w:val="17"/>
                <w:color w:val="auto"/>
              </w:rPr>
              <w:t>●</w:t>
            </w:r>
          </w:p>
        </w:tc>
        <w:tc>
          <w:tcPr>
            <w:tcW w:w="2820" w:type="dxa"/>
            <w:vAlign w:val="bottom"/>
            <w:shd w:val="clear" w:color="auto" w:fill="E7E6E6"/>
          </w:tcPr>
          <w:p>
            <w:pPr>
              <w:ind w:left="80"/>
              <w:spacing w:after="0" w:line="178" w:lineRule="exact"/>
              <w:rPr>
                <w:sz w:val="20"/>
                <w:szCs w:val="20"/>
                <w:color w:val="auto"/>
              </w:rPr>
            </w:pPr>
            <w:r>
              <w:rPr>
                <w:rFonts w:ascii="Arial" w:cs="Arial" w:eastAsia="Arial" w:hAnsi="Arial"/>
                <w:sz w:val="17"/>
                <w:szCs w:val="17"/>
                <w:color w:val="auto"/>
              </w:rPr>
              <w:t>Kinsale</w:t>
            </w:r>
          </w:p>
        </w:tc>
        <w:tc>
          <w:tcPr>
            <w:tcW w:w="340" w:type="dxa"/>
            <w:vAlign w:val="bottom"/>
            <w:shd w:val="clear" w:color="auto" w:fill="E7E6E6"/>
          </w:tcPr>
          <w:p>
            <w:pPr>
              <w:ind w:left="80"/>
              <w:spacing w:after="0" w:line="178" w:lineRule="exact"/>
              <w:rPr>
                <w:sz w:val="20"/>
                <w:szCs w:val="20"/>
                <w:color w:val="auto"/>
              </w:rPr>
            </w:pPr>
            <w:r>
              <w:rPr>
                <w:rFonts w:ascii="Arial" w:cs="Arial" w:eastAsia="Arial" w:hAnsi="Arial"/>
                <w:sz w:val="17"/>
                <w:szCs w:val="17"/>
                <w:color w:val="auto"/>
              </w:rPr>
              <w:t>●</w:t>
            </w:r>
          </w:p>
        </w:tc>
        <w:tc>
          <w:tcPr>
            <w:tcW w:w="2880" w:type="dxa"/>
            <w:vAlign w:val="bottom"/>
            <w:shd w:val="clear" w:color="auto" w:fill="E7E6E6"/>
          </w:tcPr>
          <w:p>
            <w:pPr>
              <w:ind w:left="140"/>
              <w:spacing w:after="0" w:line="178" w:lineRule="exact"/>
              <w:rPr>
                <w:sz w:val="20"/>
                <w:szCs w:val="20"/>
                <w:color w:val="auto"/>
              </w:rPr>
            </w:pPr>
            <w:r>
              <w:rPr>
                <w:rFonts w:ascii="Arial" w:cs="Arial" w:eastAsia="Arial" w:hAnsi="Arial"/>
                <w:sz w:val="17"/>
                <w:szCs w:val="17"/>
                <w:color w:val="auto"/>
              </w:rPr>
              <w:t>Selective Insurance Group</w:t>
            </w:r>
          </w:p>
        </w:tc>
      </w:tr>
      <w:tr>
        <w:trPr>
          <w:trHeight w:val="199"/>
        </w:trPr>
        <w:tc>
          <w:tcPr>
            <w:tcW w:w="300" w:type="dxa"/>
            <w:vAlign w:val="bottom"/>
            <w:shd w:val="clear" w:color="auto" w:fill="E7E6E6"/>
          </w:tcPr>
          <w:p>
            <w:pPr>
              <w:spacing w:after="0"/>
              <w:rPr>
                <w:sz w:val="17"/>
                <w:szCs w:val="17"/>
                <w:color w:val="auto"/>
              </w:rPr>
            </w:pPr>
          </w:p>
        </w:tc>
        <w:tc>
          <w:tcPr>
            <w:tcW w:w="420" w:type="dxa"/>
            <w:vAlign w:val="bottom"/>
            <w:shd w:val="clear" w:color="auto" w:fill="E7E6E6"/>
          </w:tcPr>
          <w:p>
            <w:pPr>
              <w:ind w:left="80"/>
              <w:spacing w:after="0" w:line="199" w:lineRule="exact"/>
              <w:rPr>
                <w:sz w:val="20"/>
                <w:szCs w:val="20"/>
                <w:color w:val="auto"/>
              </w:rPr>
            </w:pPr>
            <w:r>
              <w:rPr>
                <w:rFonts w:ascii="Arial" w:cs="Arial" w:eastAsia="Arial" w:hAnsi="Arial"/>
                <w:sz w:val="18"/>
                <w:szCs w:val="18"/>
                <w:color w:val="auto"/>
              </w:rPr>
              <w:t>●</w:t>
            </w:r>
          </w:p>
        </w:tc>
        <w:tc>
          <w:tcPr>
            <w:tcW w:w="2940" w:type="dxa"/>
            <w:vAlign w:val="bottom"/>
            <w:shd w:val="clear" w:color="auto" w:fill="E7E6E6"/>
          </w:tcPr>
          <w:p>
            <w:pPr>
              <w:ind w:left="80"/>
              <w:spacing w:after="0"/>
              <w:rPr>
                <w:sz w:val="20"/>
                <w:szCs w:val="20"/>
                <w:color w:val="auto"/>
              </w:rPr>
            </w:pPr>
            <w:r>
              <w:rPr>
                <w:rFonts w:ascii="Arial" w:cs="Arial" w:eastAsia="Arial" w:hAnsi="Arial"/>
                <w:sz w:val="17"/>
                <w:szCs w:val="17"/>
                <w:color w:val="auto"/>
              </w:rPr>
              <w:t>Axis Capital</w:t>
            </w:r>
          </w:p>
        </w:tc>
        <w:tc>
          <w:tcPr>
            <w:tcW w:w="400" w:type="dxa"/>
            <w:vAlign w:val="bottom"/>
            <w:shd w:val="clear" w:color="auto" w:fill="E7E6E6"/>
          </w:tcPr>
          <w:p>
            <w:pPr>
              <w:ind w:left="80"/>
              <w:spacing w:after="0"/>
              <w:rPr>
                <w:sz w:val="20"/>
                <w:szCs w:val="20"/>
                <w:color w:val="auto"/>
              </w:rPr>
            </w:pPr>
            <w:r>
              <w:rPr>
                <w:rFonts w:ascii="Arial" w:cs="Arial" w:eastAsia="Arial" w:hAnsi="Arial"/>
                <w:sz w:val="17"/>
                <w:szCs w:val="17"/>
                <w:color w:val="auto"/>
              </w:rPr>
              <w:t>●</w:t>
            </w:r>
          </w:p>
        </w:tc>
        <w:tc>
          <w:tcPr>
            <w:tcW w:w="2820" w:type="dxa"/>
            <w:vAlign w:val="bottom"/>
            <w:shd w:val="clear" w:color="auto" w:fill="E7E6E6"/>
          </w:tcPr>
          <w:p>
            <w:pPr>
              <w:ind w:left="80"/>
              <w:spacing w:after="0"/>
              <w:rPr>
                <w:sz w:val="20"/>
                <w:szCs w:val="20"/>
                <w:color w:val="auto"/>
              </w:rPr>
            </w:pPr>
            <w:r>
              <w:rPr>
                <w:rFonts w:ascii="Arial" w:cs="Arial" w:eastAsia="Arial" w:hAnsi="Arial"/>
                <w:sz w:val="17"/>
                <w:szCs w:val="17"/>
                <w:color w:val="auto"/>
              </w:rPr>
              <w:t>Markel Corp</w:t>
            </w:r>
          </w:p>
        </w:tc>
        <w:tc>
          <w:tcPr>
            <w:tcW w:w="340" w:type="dxa"/>
            <w:vAlign w:val="bottom"/>
            <w:shd w:val="clear" w:color="auto" w:fill="E7E6E6"/>
          </w:tcPr>
          <w:p>
            <w:pPr>
              <w:ind w:left="80"/>
              <w:spacing w:after="0"/>
              <w:rPr>
                <w:sz w:val="20"/>
                <w:szCs w:val="20"/>
                <w:color w:val="auto"/>
              </w:rPr>
            </w:pPr>
            <w:r>
              <w:rPr>
                <w:rFonts w:ascii="Arial" w:cs="Arial" w:eastAsia="Arial" w:hAnsi="Arial"/>
                <w:sz w:val="17"/>
                <w:szCs w:val="17"/>
                <w:color w:val="auto"/>
              </w:rPr>
              <w:t>●</w:t>
            </w:r>
          </w:p>
        </w:tc>
        <w:tc>
          <w:tcPr>
            <w:tcW w:w="2880" w:type="dxa"/>
            <w:vAlign w:val="bottom"/>
            <w:shd w:val="clear" w:color="auto" w:fill="E7E6E6"/>
          </w:tcPr>
          <w:p>
            <w:pPr>
              <w:ind w:left="140"/>
              <w:spacing w:after="0"/>
              <w:rPr>
                <w:sz w:val="20"/>
                <w:szCs w:val="20"/>
                <w:color w:val="auto"/>
              </w:rPr>
            </w:pPr>
            <w:r>
              <w:rPr>
                <w:rFonts w:ascii="Arial" w:cs="Arial" w:eastAsia="Arial" w:hAnsi="Arial"/>
                <w:sz w:val="17"/>
                <w:szCs w:val="17"/>
                <w:color w:val="auto"/>
              </w:rPr>
              <w:t>SiriusPoint</w:t>
            </w:r>
          </w:p>
        </w:tc>
      </w:tr>
      <w:tr>
        <w:trPr>
          <w:trHeight w:val="199"/>
        </w:trPr>
        <w:tc>
          <w:tcPr>
            <w:tcW w:w="300" w:type="dxa"/>
            <w:vAlign w:val="bottom"/>
            <w:shd w:val="clear" w:color="auto" w:fill="E7E6E6"/>
          </w:tcPr>
          <w:p>
            <w:pPr>
              <w:spacing w:after="0"/>
              <w:rPr>
                <w:sz w:val="17"/>
                <w:szCs w:val="17"/>
                <w:color w:val="auto"/>
              </w:rPr>
            </w:pPr>
          </w:p>
        </w:tc>
        <w:tc>
          <w:tcPr>
            <w:tcW w:w="420" w:type="dxa"/>
            <w:vAlign w:val="bottom"/>
            <w:shd w:val="clear" w:color="auto" w:fill="E7E6E6"/>
          </w:tcPr>
          <w:p>
            <w:pPr>
              <w:ind w:left="80"/>
              <w:spacing w:after="0" w:line="199" w:lineRule="exact"/>
              <w:rPr>
                <w:sz w:val="20"/>
                <w:szCs w:val="20"/>
                <w:color w:val="auto"/>
              </w:rPr>
            </w:pPr>
            <w:r>
              <w:rPr>
                <w:rFonts w:ascii="Arial" w:cs="Arial" w:eastAsia="Arial" w:hAnsi="Arial"/>
                <w:sz w:val="18"/>
                <w:szCs w:val="18"/>
                <w:color w:val="auto"/>
              </w:rPr>
              <w:t>●</w:t>
            </w:r>
          </w:p>
        </w:tc>
        <w:tc>
          <w:tcPr>
            <w:tcW w:w="2940" w:type="dxa"/>
            <w:vAlign w:val="bottom"/>
            <w:shd w:val="clear" w:color="auto" w:fill="E7E6E6"/>
          </w:tcPr>
          <w:p>
            <w:pPr>
              <w:ind w:left="80"/>
              <w:spacing w:after="0"/>
              <w:rPr>
                <w:sz w:val="20"/>
                <w:szCs w:val="20"/>
                <w:color w:val="auto"/>
              </w:rPr>
            </w:pPr>
            <w:r>
              <w:rPr>
                <w:rFonts w:ascii="Arial" w:cs="Arial" w:eastAsia="Arial" w:hAnsi="Arial"/>
                <w:sz w:val="17"/>
                <w:szCs w:val="17"/>
                <w:color w:val="auto"/>
              </w:rPr>
              <w:t>Enstar</w:t>
            </w:r>
          </w:p>
        </w:tc>
        <w:tc>
          <w:tcPr>
            <w:tcW w:w="400" w:type="dxa"/>
            <w:vAlign w:val="bottom"/>
            <w:shd w:val="clear" w:color="auto" w:fill="E7E6E6"/>
          </w:tcPr>
          <w:p>
            <w:pPr>
              <w:ind w:left="80"/>
              <w:spacing w:after="0"/>
              <w:rPr>
                <w:sz w:val="20"/>
                <w:szCs w:val="20"/>
                <w:color w:val="auto"/>
              </w:rPr>
            </w:pPr>
            <w:r>
              <w:rPr>
                <w:rFonts w:ascii="Arial" w:cs="Arial" w:eastAsia="Arial" w:hAnsi="Arial"/>
                <w:sz w:val="17"/>
                <w:szCs w:val="17"/>
                <w:color w:val="auto"/>
              </w:rPr>
              <w:t>●</w:t>
            </w:r>
          </w:p>
        </w:tc>
        <w:tc>
          <w:tcPr>
            <w:tcW w:w="2820" w:type="dxa"/>
            <w:vAlign w:val="bottom"/>
            <w:shd w:val="clear" w:color="auto" w:fill="E7E6E6"/>
          </w:tcPr>
          <w:p>
            <w:pPr>
              <w:ind w:left="80"/>
              <w:spacing w:after="0"/>
              <w:rPr>
                <w:sz w:val="20"/>
                <w:szCs w:val="20"/>
                <w:color w:val="auto"/>
              </w:rPr>
            </w:pPr>
            <w:r>
              <w:rPr>
                <w:rFonts w:ascii="Arial" w:cs="Arial" w:eastAsia="Arial" w:hAnsi="Arial"/>
                <w:sz w:val="17"/>
                <w:szCs w:val="17"/>
                <w:color w:val="auto"/>
              </w:rPr>
              <w:t>RenaissanceRe Holdings</w:t>
            </w:r>
          </w:p>
        </w:tc>
        <w:tc>
          <w:tcPr>
            <w:tcW w:w="340" w:type="dxa"/>
            <w:vAlign w:val="bottom"/>
            <w:shd w:val="clear" w:color="auto" w:fill="E7E6E6"/>
          </w:tcPr>
          <w:p>
            <w:pPr>
              <w:ind w:left="80"/>
              <w:spacing w:after="0"/>
              <w:rPr>
                <w:sz w:val="20"/>
                <w:szCs w:val="20"/>
                <w:color w:val="auto"/>
              </w:rPr>
            </w:pPr>
            <w:r>
              <w:rPr>
                <w:rFonts w:ascii="Arial" w:cs="Arial" w:eastAsia="Arial" w:hAnsi="Arial"/>
                <w:sz w:val="17"/>
                <w:szCs w:val="17"/>
                <w:color w:val="auto"/>
              </w:rPr>
              <w:t>●</w:t>
            </w:r>
          </w:p>
        </w:tc>
        <w:tc>
          <w:tcPr>
            <w:tcW w:w="2880" w:type="dxa"/>
            <w:vAlign w:val="bottom"/>
            <w:shd w:val="clear" w:color="auto" w:fill="E7E6E6"/>
          </w:tcPr>
          <w:p>
            <w:pPr>
              <w:ind w:left="140"/>
              <w:spacing w:after="0"/>
              <w:rPr>
                <w:sz w:val="20"/>
                <w:szCs w:val="20"/>
                <w:color w:val="auto"/>
              </w:rPr>
            </w:pPr>
            <w:r>
              <w:rPr>
                <w:rFonts w:ascii="Arial" w:cs="Arial" w:eastAsia="Arial" w:hAnsi="Arial"/>
                <w:sz w:val="17"/>
                <w:szCs w:val="17"/>
                <w:color w:val="auto"/>
              </w:rPr>
              <w:t>W.R. Berkley</w:t>
            </w:r>
          </w:p>
        </w:tc>
      </w:tr>
      <w:tr>
        <w:trPr>
          <w:trHeight w:val="220"/>
        </w:trPr>
        <w:tc>
          <w:tcPr>
            <w:tcW w:w="300" w:type="dxa"/>
            <w:vAlign w:val="bottom"/>
            <w:shd w:val="clear" w:color="auto" w:fill="E7E6E6"/>
          </w:tcPr>
          <w:p>
            <w:pPr>
              <w:spacing w:after="0"/>
              <w:rPr>
                <w:sz w:val="19"/>
                <w:szCs w:val="19"/>
                <w:color w:val="auto"/>
              </w:rPr>
            </w:pPr>
          </w:p>
        </w:tc>
        <w:tc>
          <w:tcPr>
            <w:tcW w:w="420" w:type="dxa"/>
            <w:vAlign w:val="bottom"/>
            <w:shd w:val="clear" w:color="auto" w:fill="E7E6E6"/>
          </w:tcPr>
          <w:p>
            <w:pPr>
              <w:ind w:left="80"/>
              <w:spacing w:after="0"/>
              <w:rPr>
                <w:sz w:val="20"/>
                <w:szCs w:val="20"/>
                <w:color w:val="auto"/>
              </w:rPr>
            </w:pPr>
            <w:r>
              <w:rPr>
                <w:rFonts w:ascii="Arial" w:cs="Arial" w:eastAsia="Arial" w:hAnsi="Arial"/>
                <w:sz w:val="18"/>
                <w:szCs w:val="18"/>
                <w:color w:val="auto"/>
              </w:rPr>
              <w:t>●</w:t>
            </w:r>
          </w:p>
        </w:tc>
        <w:tc>
          <w:tcPr>
            <w:tcW w:w="2940" w:type="dxa"/>
            <w:vAlign w:val="bottom"/>
            <w:shd w:val="clear" w:color="auto" w:fill="E7E6E6"/>
          </w:tcPr>
          <w:p>
            <w:pPr>
              <w:ind w:left="80"/>
              <w:spacing w:after="0"/>
              <w:rPr>
                <w:sz w:val="20"/>
                <w:szCs w:val="20"/>
                <w:color w:val="auto"/>
              </w:rPr>
            </w:pPr>
            <w:r>
              <w:rPr>
                <w:rFonts w:ascii="Arial" w:cs="Arial" w:eastAsia="Arial" w:hAnsi="Arial"/>
                <w:sz w:val="17"/>
                <w:szCs w:val="17"/>
                <w:color w:val="auto"/>
              </w:rPr>
              <w:t>Everest Group</w:t>
            </w:r>
          </w:p>
        </w:tc>
        <w:tc>
          <w:tcPr>
            <w:tcW w:w="400" w:type="dxa"/>
            <w:vAlign w:val="bottom"/>
            <w:shd w:val="clear" w:color="auto" w:fill="E7E6E6"/>
          </w:tcPr>
          <w:p>
            <w:pPr>
              <w:spacing w:after="0"/>
              <w:rPr>
                <w:sz w:val="19"/>
                <w:szCs w:val="19"/>
                <w:color w:val="auto"/>
              </w:rPr>
            </w:pPr>
          </w:p>
        </w:tc>
        <w:tc>
          <w:tcPr>
            <w:tcW w:w="2820" w:type="dxa"/>
            <w:vAlign w:val="bottom"/>
            <w:shd w:val="clear" w:color="auto" w:fill="E7E6E6"/>
          </w:tcPr>
          <w:p>
            <w:pPr>
              <w:spacing w:after="0"/>
              <w:rPr>
                <w:sz w:val="19"/>
                <w:szCs w:val="19"/>
                <w:color w:val="auto"/>
              </w:rPr>
            </w:pPr>
          </w:p>
        </w:tc>
        <w:tc>
          <w:tcPr>
            <w:tcW w:w="340" w:type="dxa"/>
            <w:vAlign w:val="bottom"/>
            <w:shd w:val="clear" w:color="auto" w:fill="E7E6E6"/>
          </w:tcPr>
          <w:p>
            <w:pPr>
              <w:spacing w:after="0"/>
              <w:rPr>
                <w:sz w:val="19"/>
                <w:szCs w:val="19"/>
                <w:color w:val="auto"/>
              </w:rPr>
            </w:pPr>
          </w:p>
        </w:tc>
        <w:tc>
          <w:tcPr>
            <w:tcW w:w="2880" w:type="dxa"/>
            <w:vAlign w:val="bottom"/>
            <w:shd w:val="clear" w:color="auto" w:fill="E7E6E6"/>
          </w:tcPr>
          <w:p>
            <w:pPr>
              <w:spacing w:after="0"/>
              <w:rPr>
                <w:sz w:val="19"/>
                <w:szCs w:val="19"/>
                <w:color w:val="auto"/>
              </w:rPr>
            </w:pPr>
          </w:p>
        </w:tc>
      </w:tr>
      <w:tr>
        <w:trPr>
          <w:trHeight w:val="187"/>
        </w:trPr>
        <w:tc>
          <w:tcPr>
            <w:tcW w:w="300" w:type="dxa"/>
            <w:vAlign w:val="bottom"/>
            <w:shd w:val="clear" w:color="auto" w:fill="E7E6E6"/>
          </w:tcPr>
          <w:p>
            <w:pPr>
              <w:spacing w:after="0"/>
              <w:rPr>
                <w:sz w:val="16"/>
                <w:szCs w:val="16"/>
                <w:color w:val="auto"/>
              </w:rPr>
            </w:pPr>
          </w:p>
        </w:tc>
        <w:tc>
          <w:tcPr>
            <w:tcW w:w="420" w:type="dxa"/>
            <w:vAlign w:val="bottom"/>
            <w:shd w:val="clear" w:color="auto" w:fill="E7E6E6"/>
          </w:tcPr>
          <w:p>
            <w:pPr>
              <w:spacing w:after="0"/>
              <w:rPr>
                <w:sz w:val="16"/>
                <w:szCs w:val="16"/>
                <w:color w:val="auto"/>
              </w:rPr>
            </w:pPr>
          </w:p>
        </w:tc>
        <w:tc>
          <w:tcPr>
            <w:tcW w:w="2940" w:type="dxa"/>
            <w:vAlign w:val="bottom"/>
            <w:shd w:val="clear" w:color="auto" w:fill="E7E6E6"/>
          </w:tcPr>
          <w:p>
            <w:pPr>
              <w:spacing w:after="0"/>
              <w:rPr>
                <w:sz w:val="16"/>
                <w:szCs w:val="16"/>
                <w:color w:val="auto"/>
              </w:rPr>
            </w:pPr>
          </w:p>
        </w:tc>
        <w:tc>
          <w:tcPr>
            <w:tcW w:w="400" w:type="dxa"/>
            <w:vAlign w:val="bottom"/>
            <w:shd w:val="clear" w:color="auto" w:fill="E7E6E6"/>
          </w:tcPr>
          <w:p>
            <w:pPr>
              <w:spacing w:after="0"/>
              <w:rPr>
                <w:sz w:val="16"/>
                <w:szCs w:val="16"/>
                <w:color w:val="auto"/>
              </w:rPr>
            </w:pPr>
          </w:p>
        </w:tc>
        <w:tc>
          <w:tcPr>
            <w:tcW w:w="2820" w:type="dxa"/>
            <w:vAlign w:val="bottom"/>
            <w:shd w:val="clear" w:color="auto" w:fill="E7E6E6"/>
          </w:tcPr>
          <w:p>
            <w:pPr>
              <w:spacing w:after="0"/>
              <w:rPr>
                <w:sz w:val="16"/>
                <w:szCs w:val="16"/>
                <w:color w:val="auto"/>
              </w:rPr>
            </w:pPr>
          </w:p>
        </w:tc>
        <w:tc>
          <w:tcPr>
            <w:tcW w:w="340" w:type="dxa"/>
            <w:vAlign w:val="bottom"/>
            <w:shd w:val="clear" w:color="auto" w:fill="E7E6E6"/>
          </w:tcPr>
          <w:p>
            <w:pPr>
              <w:spacing w:after="0"/>
              <w:rPr>
                <w:sz w:val="16"/>
                <w:szCs w:val="16"/>
                <w:color w:val="auto"/>
              </w:rPr>
            </w:pPr>
          </w:p>
        </w:tc>
        <w:tc>
          <w:tcPr>
            <w:tcW w:w="2880" w:type="dxa"/>
            <w:vAlign w:val="bottom"/>
            <w:shd w:val="clear" w:color="auto" w:fill="E7E6E6"/>
          </w:tcPr>
          <w:p>
            <w:pPr>
              <w:spacing w:after="0"/>
              <w:rPr>
                <w:sz w:val="16"/>
                <w:szCs w:val="16"/>
                <w:color w:val="auto"/>
              </w:rPr>
            </w:pPr>
          </w:p>
        </w:tc>
      </w:tr>
    </w:tbl>
    <w:p>
      <w:pPr>
        <w:spacing w:after="0" w:line="178" w:lineRule="exact"/>
        <w:rPr>
          <w:sz w:val="20"/>
          <w:szCs w:val="20"/>
          <w:color w:val="auto"/>
        </w:rPr>
      </w:pPr>
    </w:p>
    <w:p>
      <w:pPr>
        <w:ind w:right="40" w:firstLine="299"/>
        <w:spacing w:after="0"/>
        <w:rPr>
          <w:sz w:val="20"/>
          <w:szCs w:val="20"/>
          <w:color w:val="auto"/>
        </w:rPr>
      </w:pPr>
      <w:r>
        <w:rPr>
          <w:rFonts w:ascii="Arial" w:cs="Arial" w:eastAsia="Arial" w:hAnsi="Arial"/>
          <w:sz w:val="18"/>
          <w:szCs w:val="18"/>
          <w:color w:val="auto"/>
        </w:rPr>
        <w:t>The CNG Committee concluded that the peer analysis supported its view that the Company’s compensation programs are more variable than most other insurance and reinsurance peers, have fewer fixed elements of compensation and perquisites and do not lead to significant rewards for poor performance. The CNG Committee believes that the compensation structures that have been developed for the Company closely align the financial interests of management with those of our shareholders and encourage appropriate, but not excessive, risk taking.</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Compensation Best Practices</w:t>
      </w:r>
    </w:p>
    <w:p>
      <w:pPr>
        <w:spacing w:after="0" w:line="164" w:lineRule="exact"/>
        <w:rPr>
          <w:sz w:val="20"/>
          <w:szCs w:val="20"/>
          <w:color w:val="auto"/>
        </w:rPr>
      </w:pPr>
    </w:p>
    <w:p>
      <w:pPr>
        <w:jc w:val="both"/>
        <w:ind w:right="240" w:firstLine="299"/>
        <w:spacing w:after="0" w:line="250" w:lineRule="auto"/>
        <w:rPr>
          <w:sz w:val="20"/>
          <w:szCs w:val="20"/>
          <w:color w:val="auto"/>
        </w:rPr>
      </w:pPr>
      <w:r>
        <w:rPr>
          <w:rFonts w:ascii="Arial" w:cs="Arial" w:eastAsia="Arial" w:hAnsi="Arial"/>
          <w:sz w:val="18"/>
          <w:szCs w:val="18"/>
          <w:color w:val="auto"/>
        </w:rPr>
        <w:t>We maintain a number of compensation governance best practices which support our overarching compensation philosophy and are fully aligned with our compensation principles, as discussed in the following section. Our compensation practices also align with input we have received from shareholders.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Key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143115" cy="17697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3115" cy="17697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2"/>
        </w:trPr>
        <w:tc>
          <w:tcPr>
            <w:tcW w:w="5640" w:type="dxa"/>
            <w:vAlign w:val="bottom"/>
            <w:tcBorders>
              <w:top w:val="single" w:sz="8" w:color="auto"/>
              <w:bottom w:val="single" w:sz="8" w:color="auto"/>
              <w:right w:val="single" w:sz="8" w:color="auto"/>
            </w:tcBorders>
            <w:shd w:val="clear" w:color="auto" w:fill="BDD6EE"/>
          </w:tcPr>
          <w:p>
            <w:pPr>
              <w:ind w:left="2300"/>
              <w:spacing w:after="0" w:line="192" w:lineRule="exact"/>
              <w:rPr>
                <w:sz w:val="20"/>
                <w:szCs w:val="20"/>
                <w:color w:val="auto"/>
              </w:rPr>
            </w:pPr>
            <w:r>
              <w:rPr>
                <w:rFonts w:ascii="Arial" w:cs="Arial" w:eastAsia="Arial" w:hAnsi="Arial"/>
                <w:sz w:val="18"/>
                <w:szCs w:val="18"/>
                <w:color w:val="auto"/>
              </w:rPr>
              <w:t>What We Do</w:t>
            </w:r>
          </w:p>
        </w:tc>
        <w:tc>
          <w:tcPr>
            <w:tcW w:w="5600" w:type="dxa"/>
            <w:vAlign w:val="bottom"/>
            <w:tcBorders>
              <w:top w:val="single" w:sz="8" w:color="auto"/>
              <w:bottom w:val="single" w:sz="8" w:color="auto"/>
            </w:tcBorders>
            <w:shd w:val="clear" w:color="auto" w:fill="BDD6EE"/>
          </w:tcPr>
          <w:p>
            <w:pPr>
              <w:ind w:left="1980"/>
              <w:spacing w:after="0" w:line="192" w:lineRule="exact"/>
              <w:rPr>
                <w:sz w:val="20"/>
                <w:szCs w:val="20"/>
                <w:color w:val="auto"/>
              </w:rPr>
            </w:pPr>
            <w:r>
              <w:rPr>
                <w:rFonts w:ascii="Arial" w:cs="Arial" w:eastAsia="Arial" w:hAnsi="Arial"/>
                <w:sz w:val="18"/>
                <w:szCs w:val="18"/>
                <w:color w:val="auto"/>
              </w:rPr>
              <w:t>What We Do Not Do</w:t>
            </w:r>
          </w:p>
        </w:tc>
        <w:tc>
          <w:tcPr>
            <w:tcW w:w="0" w:type="dxa"/>
            <w:vAlign w:val="bottom"/>
          </w:tcPr>
          <w:p>
            <w:pPr>
              <w:spacing w:after="0"/>
              <w:rPr>
                <w:sz w:val="1"/>
                <w:szCs w:val="1"/>
                <w:color w:val="auto"/>
              </w:rPr>
            </w:pPr>
          </w:p>
        </w:tc>
      </w:tr>
      <w:tr>
        <w:trPr>
          <w:trHeight w:val="353"/>
        </w:trPr>
        <w:tc>
          <w:tcPr>
            <w:tcW w:w="5640" w:type="dxa"/>
            <w:vAlign w:val="bottom"/>
            <w:tcBorders>
              <w:right w:val="single" w:sz="8" w:color="auto"/>
            </w:tcBorders>
          </w:tcPr>
          <w:p>
            <w:pPr>
              <w:ind w:left="280"/>
              <w:spacing w:after="0" w:line="196" w:lineRule="exact"/>
              <w:rPr>
                <w:sz w:val="20"/>
                <w:szCs w:val="20"/>
                <w:color w:val="auto"/>
              </w:rPr>
            </w:pPr>
            <w:r>
              <w:rPr>
                <w:rFonts w:ascii="MS PGothic" w:cs="MS PGothic" w:eastAsia="MS PGothic" w:hAnsi="MS PGothic"/>
                <w:sz w:val="17"/>
                <w:szCs w:val="17"/>
                <w:color w:val="00B050"/>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Commitment to pay for performance</w:t>
            </w:r>
            <w:r>
              <w:rPr>
                <w:rFonts w:ascii="Arial" w:cs="Arial" w:eastAsia="Arial" w:hAnsi="Arial"/>
                <w:sz w:val="17"/>
                <w:szCs w:val="17"/>
                <w:color w:val="auto"/>
              </w:rPr>
              <w:t xml:space="preserve"> as evidenced by 92% of</w:t>
            </w:r>
          </w:p>
        </w:tc>
        <w:tc>
          <w:tcPr>
            <w:tcW w:w="5600" w:type="dxa"/>
            <w:vAlign w:val="bottom"/>
          </w:tcPr>
          <w:p>
            <w:pPr>
              <w:ind w:left="260"/>
              <w:spacing w:after="0"/>
              <w:rPr>
                <w:sz w:val="20"/>
                <w:szCs w:val="20"/>
                <w:color w:val="auto"/>
              </w:rPr>
            </w:pPr>
            <w:r>
              <w:rPr>
                <w:rFonts w:ascii="Arial" w:cs="Arial" w:eastAsia="Arial" w:hAnsi="Arial"/>
                <w:sz w:val="17"/>
                <w:szCs w:val="17"/>
                <w:color w:val="auto"/>
              </w:rPr>
              <w:t>    No hedging of Company securities</w:t>
            </w:r>
          </w:p>
        </w:tc>
        <w:tc>
          <w:tcPr>
            <w:tcW w:w="0" w:type="dxa"/>
            <w:vAlign w:val="bottom"/>
          </w:tcPr>
          <w:p>
            <w:pPr>
              <w:spacing w:after="0"/>
              <w:rPr>
                <w:sz w:val="1"/>
                <w:szCs w:val="1"/>
                <w:color w:val="auto"/>
              </w:rPr>
            </w:pPr>
          </w:p>
        </w:tc>
      </w:tr>
      <w:tr>
        <w:trPr>
          <w:trHeight w:val="162"/>
        </w:trPr>
        <w:tc>
          <w:tcPr>
            <w:tcW w:w="5640" w:type="dxa"/>
            <w:vAlign w:val="bottom"/>
            <w:tcBorders>
              <w:right w:val="single" w:sz="8" w:color="auto"/>
            </w:tcBorders>
          </w:tcPr>
          <w:p>
            <w:pPr>
              <w:ind w:left="580"/>
              <w:spacing w:after="0" w:line="162" w:lineRule="exact"/>
              <w:rPr>
                <w:sz w:val="20"/>
                <w:szCs w:val="20"/>
                <w:color w:val="auto"/>
              </w:rPr>
            </w:pPr>
            <w:r>
              <w:rPr>
                <w:rFonts w:ascii="Arial" w:cs="Arial" w:eastAsia="Arial" w:hAnsi="Arial"/>
                <w:sz w:val="17"/>
                <w:szCs w:val="17"/>
                <w:color w:val="auto"/>
              </w:rPr>
              <w:t>total target 2025 CEO compensation meaningfully “at risk”</w:t>
            </w:r>
          </w:p>
        </w:tc>
        <w:tc>
          <w:tcPr>
            <w:tcW w:w="5600" w:type="dxa"/>
            <w:vAlign w:val="bottom"/>
            <w:vMerge w:val="restart"/>
          </w:tcPr>
          <w:p>
            <w:pPr>
              <w:ind w:left="260"/>
              <w:spacing w:after="0"/>
              <w:rPr>
                <w:sz w:val="20"/>
                <w:szCs w:val="20"/>
                <w:color w:val="auto"/>
              </w:rPr>
            </w:pPr>
            <w:r>
              <w:rPr>
                <w:rFonts w:ascii="Arial" w:cs="Arial" w:eastAsia="Arial" w:hAnsi="Arial"/>
                <w:sz w:val="17"/>
                <w:szCs w:val="17"/>
                <w:color w:val="auto"/>
              </w:rPr>
              <w:t>    No executive pensions</w:t>
            </w:r>
          </w:p>
        </w:tc>
        <w:tc>
          <w:tcPr>
            <w:tcW w:w="0" w:type="dxa"/>
            <w:vAlign w:val="bottom"/>
          </w:tcPr>
          <w:p>
            <w:pPr>
              <w:spacing w:after="0"/>
              <w:rPr>
                <w:sz w:val="1"/>
                <w:szCs w:val="1"/>
                <w:color w:val="auto"/>
              </w:rPr>
            </w:pPr>
          </w:p>
        </w:tc>
      </w:tr>
      <w:tr>
        <w:trPr>
          <w:trHeight w:val="207"/>
        </w:trPr>
        <w:tc>
          <w:tcPr>
            <w:tcW w:w="5640" w:type="dxa"/>
            <w:vAlign w:val="bottom"/>
            <w:tcBorders>
              <w:right w:val="single" w:sz="8" w:color="auto"/>
            </w:tcBorders>
          </w:tcPr>
          <w:p>
            <w:pPr>
              <w:ind w:left="280"/>
              <w:spacing w:after="0" w:line="196" w:lineRule="exact"/>
              <w:rPr>
                <w:sz w:val="20"/>
                <w:szCs w:val="20"/>
                <w:color w:val="auto"/>
              </w:rPr>
            </w:pPr>
            <w:r>
              <w:rPr>
                <w:rFonts w:ascii="MS PGothic" w:cs="MS PGothic" w:eastAsia="MS PGothic" w:hAnsi="MS PGothic"/>
                <w:sz w:val="17"/>
                <w:szCs w:val="17"/>
                <w:color w:val="00B050"/>
                <w:w w:val="97"/>
              </w:rPr>
              <w:t>✓</w:t>
            </w:r>
            <w:r>
              <w:rPr>
                <w:rFonts w:ascii="Arial" w:cs="Arial" w:eastAsia="Arial" w:hAnsi="Arial"/>
                <w:sz w:val="17"/>
                <w:szCs w:val="17"/>
                <w:color w:val="auto"/>
                <w:w w:val="97"/>
              </w:rPr>
              <w:t xml:space="preserve">    </w:t>
            </w:r>
            <w:r>
              <w:rPr>
                <w:rFonts w:ascii="Arial" w:cs="Arial" w:eastAsia="Arial" w:hAnsi="Arial"/>
                <w:sz w:val="17"/>
                <w:szCs w:val="17"/>
                <w:b w:val="1"/>
                <w:bCs w:val="1"/>
                <w:color w:val="auto"/>
                <w:w w:val="97"/>
              </w:rPr>
              <w:t>Half of annual LTI delivered in performance-based equity</w:t>
            </w:r>
            <w:r>
              <w:rPr>
                <w:rFonts w:ascii="Arial" w:cs="Arial" w:eastAsia="Arial" w:hAnsi="Arial"/>
                <w:sz w:val="17"/>
                <w:szCs w:val="17"/>
                <w:color w:val="auto"/>
                <w:w w:val="97"/>
              </w:rPr>
              <w:t>, with a</w:t>
            </w:r>
          </w:p>
        </w:tc>
        <w:tc>
          <w:tcPr>
            <w:tcW w:w="5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640" w:type="dxa"/>
            <w:vAlign w:val="bottom"/>
            <w:tcBorders>
              <w:right w:val="single" w:sz="8" w:color="auto"/>
            </w:tcBorders>
          </w:tcPr>
          <w:p>
            <w:pPr>
              <w:ind w:left="580"/>
              <w:spacing w:after="0" w:line="179" w:lineRule="exact"/>
              <w:rPr>
                <w:sz w:val="20"/>
                <w:szCs w:val="20"/>
                <w:color w:val="auto"/>
              </w:rPr>
            </w:pPr>
            <w:r>
              <w:rPr>
                <w:rFonts w:ascii="Arial" w:cs="Arial" w:eastAsia="Arial" w:hAnsi="Arial"/>
                <w:sz w:val="17"/>
                <w:szCs w:val="17"/>
                <w:color w:val="auto"/>
              </w:rPr>
              <w:t>three-year measurement period</w:t>
            </w:r>
          </w:p>
        </w:tc>
        <w:tc>
          <w:tcPr>
            <w:tcW w:w="5600" w:type="dxa"/>
            <w:vAlign w:val="bottom"/>
          </w:tcPr>
          <w:p>
            <w:pPr>
              <w:ind w:left="260"/>
              <w:spacing w:after="0" w:line="179" w:lineRule="exact"/>
              <w:rPr>
                <w:sz w:val="20"/>
                <w:szCs w:val="20"/>
                <w:color w:val="auto"/>
              </w:rPr>
            </w:pPr>
            <w:r>
              <w:rPr>
                <w:rFonts w:ascii="Arial" w:cs="Arial" w:eastAsia="Arial" w:hAnsi="Arial"/>
                <w:sz w:val="17"/>
                <w:szCs w:val="17"/>
                <w:color w:val="auto"/>
              </w:rPr>
              <w:t>    No single-trigger vesting of equity-based awards upon change-in-</w:t>
            </w:r>
          </w:p>
        </w:tc>
        <w:tc>
          <w:tcPr>
            <w:tcW w:w="0" w:type="dxa"/>
            <w:vAlign w:val="bottom"/>
          </w:tcPr>
          <w:p>
            <w:pPr>
              <w:spacing w:after="0"/>
              <w:rPr>
                <w:sz w:val="1"/>
                <w:szCs w:val="1"/>
                <w:color w:val="auto"/>
              </w:rPr>
            </w:pPr>
          </w:p>
        </w:tc>
      </w:tr>
      <w:tr>
        <w:trPr>
          <w:trHeight w:val="249"/>
        </w:trPr>
        <w:tc>
          <w:tcPr>
            <w:tcW w:w="5640" w:type="dxa"/>
            <w:vAlign w:val="bottom"/>
            <w:tcBorders>
              <w:right w:val="single" w:sz="8" w:color="auto"/>
            </w:tcBorders>
          </w:tcPr>
          <w:p>
            <w:pPr>
              <w:ind w:left="280"/>
              <w:spacing w:after="0" w:line="196" w:lineRule="exact"/>
              <w:rPr>
                <w:sz w:val="20"/>
                <w:szCs w:val="20"/>
                <w:color w:val="auto"/>
              </w:rPr>
            </w:pPr>
            <w:r>
              <w:rPr>
                <w:rFonts w:ascii="MS PGothic" w:cs="MS PGothic" w:eastAsia="MS PGothic" w:hAnsi="MS PGothic"/>
                <w:sz w:val="17"/>
                <w:szCs w:val="17"/>
                <w:color w:val="00B050"/>
              </w:rPr>
              <w:t>✓</w:t>
            </w:r>
            <w:r>
              <w:rPr>
                <w:rFonts w:ascii="Arial" w:cs="Arial" w:eastAsia="Arial" w:hAnsi="Arial"/>
                <w:sz w:val="17"/>
                <w:szCs w:val="17"/>
                <w:color w:val="auto"/>
              </w:rPr>
              <w:t>    Formulaic annual incentive program, based on pre-determined</w:t>
            </w:r>
          </w:p>
        </w:tc>
        <w:tc>
          <w:tcPr>
            <w:tcW w:w="5600" w:type="dxa"/>
            <w:vAlign w:val="bottom"/>
          </w:tcPr>
          <w:p>
            <w:pPr>
              <w:ind w:left="560"/>
              <w:spacing w:after="0"/>
              <w:rPr>
                <w:sz w:val="20"/>
                <w:szCs w:val="20"/>
                <w:color w:val="auto"/>
              </w:rPr>
            </w:pPr>
            <w:r>
              <w:rPr>
                <w:rFonts w:ascii="Arial" w:cs="Arial" w:eastAsia="Arial" w:hAnsi="Arial"/>
                <w:sz w:val="17"/>
                <w:szCs w:val="17"/>
                <w:color w:val="auto"/>
              </w:rPr>
              <w:t>control</w:t>
            </w:r>
          </w:p>
        </w:tc>
        <w:tc>
          <w:tcPr>
            <w:tcW w:w="0" w:type="dxa"/>
            <w:vAlign w:val="bottom"/>
          </w:tcPr>
          <w:p>
            <w:pPr>
              <w:spacing w:after="0"/>
              <w:rPr>
                <w:sz w:val="1"/>
                <w:szCs w:val="1"/>
                <w:color w:val="auto"/>
              </w:rPr>
            </w:pPr>
          </w:p>
        </w:tc>
      </w:tr>
      <w:tr>
        <w:trPr>
          <w:trHeight w:val="112"/>
        </w:trPr>
        <w:tc>
          <w:tcPr>
            <w:tcW w:w="5640" w:type="dxa"/>
            <w:vAlign w:val="bottom"/>
            <w:tcBorders>
              <w:right w:val="single" w:sz="8" w:color="auto"/>
            </w:tcBorders>
          </w:tcPr>
          <w:p>
            <w:pPr>
              <w:ind w:left="580"/>
              <w:spacing w:after="0" w:line="112" w:lineRule="exact"/>
              <w:rPr>
                <w:sz w:val="20"/>
                <w:szCs w:val="20"/>
                <w:color w:val="auto"/>
              </w:rPr>
            </w:pPr>
            <w:r>
              <w:rPr>
                <w:rFonts w:ascii="Arial" w:cs="Arial" w:eastAsia="Arial" w:hAnsi="Arial"/>
                <w:sz w:val="12"/>
                <w:szCs w:val="12"/>
                <w:color w:val="auto"/>
              </w:rPr>
              <w:t>goals</w:t>
            </w:r>
          </w:p>
        </w:tc>
        <w:tc>
          <w:tcPr>
            <w:tcW w:w="5600" w:type="dxa"/>
            <w:vAlign w:val="bottom"/>
            <w:vMerge w:val="restart"/>
          </w:tcPr>
          <w:p>
            <w:pPr>
              <w:ind w:left="260"/>
              <w:spacing w:after="0"/>
              <w:rPr>
                <w:sz w:val="20"/>
                <w:szCs w:val="20"/>
                <w:color w:val="auto"/>
              </w:rPr>
            </w:pPr>
            <w:r>
              <w:rPr>
                <w:rFonts w:ascii="Arial" w:cs="Arial" w:eastAsia="Arial" w:hAnsi="Arial"/>
                <w:sz w:val="17"/>
                <w:szCs w:val="17"/>
                <w:color w:val="auto"/>
              </w:rPr>
              <w:t>    No excise tax gross-ups upon change-in-control</w:t>
            </w:r>
          </w:p>
        </w:tc>
        <w:tc>
          <w:tcPr>
            <w:tcW w:w="0" w:type="dxa"/>
            <w:vAlign w:val="bottom"/>
          </w:tcPr>
          <w:p>
            <w:pPr>
              <w:spacing w:after="0"/>
              <w:rPr>
                <w:sz w:val="1"/>
                <w:szCs w:val="1"/>
                <w:color w:val="auto"/>
              </w:rPr>
            </w:pPr>
          </w:p>
        </w:tc>
      </w:tr>
      <w:tr>
        <w:trPr>
          <w:trHeight w:val="187"/>
        </w:trPr>
        <w:tc>
          <w:tcPr>
            <w:tcW w:w="5640" w:type="dxa"/>
            <w:vAlign w:val="bottom"/>
            <w:tcBorders>
              <w:right w:val="single" w:sz="8" w:color="auto"/>
            </w:tcBorders>
          </w:tcPr>
          <w:p>
            <w:pPr>
              <w:ind w:left="280"/>
              <w:spacing w:after="0" w:line="187" w:lineRule="exact"/>
              <w:rPr>
                <w:sz w:val="20"/>
                <w:szCs w:val="20"/>
                <w:color w:val="auto"/>
              </w:rPr>
            </w:pPr>
            <w:r>
              <w:rPr>
                <w:rFonts w:ascii="MS PGothic" w:cs="MS PGothic" w:eastAsia="MS PGothic" w:hAnsi="MS PGothic"/>
                <w:sz w:val="17"/>
                <w:szCs w:val="17"/>
                <w:color w:val="00B050"/>
              </w:rPr>
              <w:t>✓</w:t>
            </w:r>
            <w:r>
              <w:rPr>
                <w:rFonts w:ascii="Arial" w:cs="Arial" w:eastAsia="Arial" w:hAnsi="Arial"/>
                <w:sz w:val="17"/>
                <w:szCs w:val="17"/>
                <w:color w:val="auto"/>
              </w:rPr>
              <w:t>    Clawback policy for annual and long-term incentive plans</w:t>
            </w:r>
          </w:p>
        </w:tc>
        <w:tc>
          <w:tcPr>
            <w:tcW w:w="5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40" w:type="dxa"/>
            <w:vAlign w:val="bottom"/>
            <w:tcBorders>
              <w:right w:val="single" w:sz="8" w:color="auto"/>
            </w:tcBorders>
          </w:tcPr>
          <w:p>
            <w:pPr>
              <w:ind w:left="280"/>
              <w:spacing w:after="0" w:line="187" w:lineRule="exact"/>
              <w:rPr>
                <w:sz w:val="20"/>
                <w:szCs w:val="20"/>
                <w:color w:val="auto"/>
              </w:rPr>
            </w:pPr>
            <w:r>
              <w:rPr>
                <w:rFonts w:ascii="MS PGothic" w:cs="MS PGothic" w:eastAsia="MS PGothic" w:hAnsi="MS PGothic"/>
                <w:sz w:val="17"/>
                <w:szCs w:val="17"/>
                <w:color w:val="00B050"/>
              </w:rPr>
              <w:t>✓</w:t>
            </w:r>
            <w:r>
              <w:rPr>
                <w:rFonts w:ascii="Arial" w:cs="Arial" w:eastAsia="Arial" w:hAnsi="Arial"/>
                <w:sz w:val="17"/>
                <w:szCs w:val="17"/>
                <w:color w:val="auto"/>
              </w:rPr>
              <w:t>    Double-trigger change-in-control provisions</w:t>
            </w:r>
          </w:p>
        </w:tc>
        <w:tc>
          <w:tcPr>
            <w:tcW w:w="5600" w:type="dxa"/>
            <w:vAlign w:val="bottom"/>
          </w:tcPr>
          <w:p>
            <w:pPr>
              <w:ind w:left="260"/>
              <w:spacing w:after="0" w:line="187" w:lineRule="exact"/>
              <w:rPr>
                <w:sz w:val="20"/>
                <w:szCs w:val="20"/>
                <w:color w:val="auto"/>
              </w:rPr>
            </w:pPr>
            <w:r>
              <w:rPr>
                <w:rFonts w:ascii="Arial" w:cs="Arial" w:eastAsia="Arial" w:hAnsi="Arial"/>
                <w:sz w:val="17"/>
                <w:szCs w:val="17"/>
                <w:color w:val="auto"/>
              </w:rPr>
              <w:t>    No dividends on unvested performance shares or restricted shares</w:t>
            </w:r>
          </w:p>
        </w:tc>
        <w:tc>
          <w:tcPr>
            <w:tcW w:w="0" w:type="dxa"/>
            <w:vAlign w:val="bottom"/>
          </w:tcPr>
          <w:p>
            <w:pPr>
              <w:spacing w:after="0"/>
              <w:rPr>
                <w:sz w:val="1"/>
                <w:szCs w:val="1"/>
                <w:color w:val="auto"/>
              </w:rPr>
            </w:pPr>
          </w:p>
        </w:tc>
      </w:tr>
      <w:tr>
        <w:trPr>
          <w:trHeight w:val="187"/>
        </w:trPr>
        <w:tc>
          <w:tcPr>
            <w:tcW w:w="5640" w:type="dxa"/>
            <w:vAlign w:val="bottom"/>
            <w:tcBorders>
              <w:right w:val="single" w:sz="8" w:color="auto"/>
            </w:tcBorders>
          </w:tcPr>
          <w:p>
            <w:pPr>
              <w:ind w:left="280"/>
              <w:spacing w:after="0" w:line="187" w:lineRule="exact"/>
              <w:rPr>
                <w:sz w:val="20"/>
                <w:szCs w:val="20"/>
                <w:color w:val="auto"/>
              </w:rPr>
            </w:pPr>
            <w:r>
              <w:rPr>
                <w:rFonts w:ascii="MS PGothic" w:cs="MS PGothic" w:eastAsia="MS PGothic" w:hAnsi="MS PGothic"/>
                <w:sz w:val="17"/>
                <w:szCs w:val="17"/>
                <w:color w:val="00B050"/>
              </w:rPr>
              <w:t>✓</w:t>
            </w:r>
            <w:r>
              <w:rPr>
                <w:rFonts w:ascii="Arial" w:cs="Arial" w:eastAsia="Arial" w:hAnsi="Arial"/>
                <w:sz w:val="17"/>
                <w:szCs w:val="17"/>
                <w:color w:val="auto"/>
              </w:rPr>
              <w:t>    Annual Say-On-Pay vote</w:t>
            </w:r>
          </w:p>
        </w:tc>
        <w:tc>
          <w:tcPr>
            <w:tcW w:w="5600" w:type="dxa"/>
            <w:vAlign w:val="bottom"/>
            <w:vMerge w:val="restart"/>
          </w:tcPr>
          <w:p>
            <w:pPr>
              <w:ind w:left="260"/>
              <w:spacing w:after="0"/>
              <w:rPr>
                <w:sz w:val="20"/>
                <w:szCs w:val="20"/>
                <w:color w:val="auto"/>
              </w:rPr>
            </w:pPr>
            <w:r>
              <w:rPr>
                <w:rFonts w:ascii="Arial" w:cs="Arial" w:eastAsia="Arial" w:hAnsi="Arial"/>
                <w:sz w:val="17"/>
                <w:szCs w:val="17"/>
                <w:color w:val="auto"/>
              </w:rPr>
              <w:t>    No long-term employment agreements</w:t>
            </w:r>
          </w:p>
        </w:tc>
        <w:tc>
          <w:tcPr>
            <w:tcW w:w="0" w:type="dxa"/>
            <w:vAlign w:val="bottom"/>
          </w:tcPr>
          <w:p>
            <w:pPr>
              <w:spacing w:after="0"/>
              <w:rPr>
                <w:sz w:val="1"/>
                <w:szCs w:val="1"/>
                <w:color w:val="auto"/>
              </w:rPr>
            </w:pPr>
          </w:p>
        </w:tc>
      </w:tr>
      <w:tr>
        <w:trPr>
          <w:trHeight w:val="187"/>
        </w:trPr>
        <w:tc>
          <w:tcPr>
            <w:tcW w:w="5640" w:type="dxa"/>
            <w:vAlign w:val="bottom"/>
            <w:tcBorders>
              <w:right w:val="single" w:sz="8" w:color="auto"/>
            </w:tcBorders>
          </w:tcPr>
          <w:p>
            <w:pPr>
              <w:ind w:left="280"/>
              <w:spacing w:after="0" w:line="187" w:lineRule="exact"/>
              <w:rPr>
                <w:sz w:val="20"/>
                <w:szCs w:val="20"/>
                <w:color w:val="auto"/>
              </w:rPr>
            </w:pPr>
            <w:r>
              <w:rPr>
                <w:rFonts w:ascii="MS PGothic" w:cs="MS PGothic" w:eastAsia="MS PGothic" w:hAnsi="MS PGothic"/>
                <w:sz w:val="17"/>
                <w:szCs w:val="17"/>
                <w:color w:val="00B050"/>
              </w:rPr>
              <w:t>✓</w:t>
            </w:r>
            <w:r>
              <w:rPr>
                <w:rFonts w:ascii="Arial" w:cs="Arial" w:eastAsia="Arial" w:hAnsi="Arial"/>
                <w:sz w:val="17"/>
                <w:szCs w:val="17"/>
                <w:color w:val="auto"/>
              </w:rPr>
              <w:t>    Robust share ownership guidelines for executive officers and</w:t>
            </w:r>
          </w:p>
        </w:tc>
        <w:tc>
          <w:tcPr>
            <w:tcW w:w="5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5640" w:type="dxa"/>
            <w:vAlign w:val="bottom"/>
            <w:tcBorders>
              <w:right w:val="single" w:sz="8" w:color="auto"/>
            </w:tcBorders>
          </w:tcPr>
          <w:p>
            <w:pPr>
              <w:ind w:left="580"/>
              <w:spacing w:after="0"/>
              <w:rPr>
                <w:sz w:val="20"/>
                <w:szCs w:val="20"/>
                <w:color w:val="auto"/>
              </w:rPr>
            </w:pPr>
            <w:r>
              <w:rPr>
                <w:rFonts w:ascii="Arial" w:cs="Arial" w:eastAsia="Arial" w:hAnsi="Arial"/>
                <w:sz w:val="17"/>
                <w:szCs w:val="17"/>
                <w:color w:val="auto"/>
              </w:rPr>
              <w:t>directors</w:t>
            </w:r>
          </w:p>
        </w:tc>
        <w:tc>
          <w:tcPr>
            <w:tcW w:w="5600" w:type="dxa"/>
            <w:vAlign w:val="bottom"/>
          </w:tcPr>
          <w:p>
            <w:pPr>
              <w:ind w:left="260"/>
              <w:spacing w:after="0"/>
              <w:rPr>
                <w:sz w:val="20"/>
                <w:szCs w:val="20"/>
                <w:color w:val="auto"/>
              </w:rPr>
            </w:pPr>
            <w:r>
              <w:rPr>
                <w:rFonts w:ascii="Arial" w:cs="Arial" w:eastAsia="Arial" w:hAnsi="Arial"/>
                <w:sz w:val="17"/>
                <w:szCs w:val="17"/>
                <w:color w:val="auto"/>
              </w:rPr>
              <w:t>    No excessive perquisites or benefits</w:t>
            </w:r>
          </w:p>
        </w:tc>
        <w:tc>
          <w:tcPr>
            <w:tcW w:w="0" w:type="dxa"/>
            <w:vAlign w:val="bottom"/>
          </w:tcPr>
          <w:p>
            <w:pPr>
              <w:spacing w:after="0"/>
              <w:rPr>
                <w:sz w:val="1"/>
                <w:szCs w:val="1"/>
                <w:color w:val="auto"/>
              </w:rPr>
            </w:pPr>
          </w:p>
        </w:tc>
      </w:tr>
      <w:tr>
        <w:trPr>
          <w:trHeight w:val="42"/>
        </w:trPr>
        <w:tc>
          <w:tcPr>
            <w:tcW w:w="5640" w:type="dxa"/>
            <w:vAlign w:val="bottom"/>
            <w:tcBorders>
              <w:bottom w:val="single" w:sz="8" w:color="auto"/>
              <w:right w:val="single" w:sz="8" w:color="auto"/>
            </w:tcBorders>
          </w:tcPr>
          <w:p>
            <w:pPr>
              <w:spacing w:after="0"/>
              <w:rPr>
                <w:sz w:val="3"/>
                <w:szCs w:val="3"/>
                <w:color w:val="auto"/>
              </w:rPr>
            </w:pPr>
          </w:p>
        </w:tc>
        <w:tc>
          <w:tcPr>
            <w:tcW w:w="5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Superior Track Record and the Alignment of Growth in BVPS and Market Value Per Share</w:t>
      </w:r>
    </w:p>
    <w:p>
      <w:pPr>
        <w:spacing w:after="0" w:line="189" w:lineRule="exact"/>
        <w:rPr>
          <w:sz w:val="20"/>
          <w:szCs w:val="20"/>
          <w:color w:val="auto"/>
        </w:rPr>
      </w:pPr>
    </w:p>
    <w:p>
      <w:pPr>
        <w:ind w:right="40" w:firstLine="299"/>
        <w:spacing w:after="0" w:line="244" w:lineRule="auto"/>
        <w:rPr>
          <w:sz w:val="20"/>
          <w:szCs w:val="20"/>
          <w:color w:val="auto"/>
        </w:rPr>
      </w:pPr>
      <w:r>
        <w:rPr>
          <w:rFonts w:ascii="Arial" w:cs="Arial" w:eastAsia="Arial" w:hAnsi="Arial"/>
          <w:sz w:val="18"/>
          <w:szCs w:val="18"/>
          <w:color w:val="auto"/>
        </w:rPr>
        <w:t xml:space="preserve">From our IPO in 1985 through year-end 2025, we have delivered 13% annualized growth in book value per share and 12% annualized growth in market value per share to our shareholders. </w:t>
      </w:r>
      <w:r>
        <w:rPr>
          <w:rFonts w:ascii="Arial" w:cs="Arial" w:eastAsia="Arial" w:hAnsi="Arial"/>
          <w:sz w:val="18"/>
          <w:szCs w:val="18"/>
          <w:b w:val="1"/>
          <w:bCs w:val="1"/>
          <w:color w:val="auto"/>
        </w:rPr>
        <w:t>Importantly, as seen in the chart below, BVPS and market value per share have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generally moved in tandem over the last 40 years, despite short-term fluctuations. </w:t>
      </w:r>
      <w:r>
        <w:rPr>
          <w:rFonts w:ascii="Arial" w:cs="Arial" w:eastAsia="Arial" w:hAnsi="Arial"/>
          <w:sz w:val="18"/>
          <w:szCs w:val="18"/>
          <w:color w:val="auto"/>
        </w:rPr>
        <w:t>This is a core factor supporting the CNG</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selection of incentive plan performance metrics that relate to growth in book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1106170</wp:posOffset>
            </wp:positionH>
            <wp:positionV relativeFrom="paragraph">
              <wp:posOffset>111125</wp:posOffset>
            </wp:positionV>
            <wp:extent cx="4899025" cy="31210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899025" cy="312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Compensation for 2025</w:t>
      </w:r>
    </w:p>
    <w:p>
      <w:pPr>
        <w:spacing w:after="0" w:line="189" w:lineRule="exact"/>
        <w:rPr>
          <w:sz w:val="20"/>
          <w:szCs w:val="20"/>
          <w:color w:val="auto"/>
        </w:rPr>
      </w:pPr>
    </w:p>
    <w:p>
      <w:pPr>
        <w:ind w:right="560" w:firstLine="299"/>
        <w:spacing w:after="0" w:line="270" w:lineRule="auto"/>
        <w:rPr>
          <w:sz w:val="20"/>
          <w:szCs w:val="20"/>
          <w:color w:val="auto"/>
        </w:rPr>
      </w:pPr>
      <w:r>
        <w:rPr>
          <w:rFonts w:ascii="Arial" w:cs="Arial" w:eastAsia="Arial" w:hAnsi="Arial"/>
          <w:sz w:val="18"/>
          <w:szCs w:val="18"/>
          <w:color w:val="auto"/>
        </w:rPr>
        <w:t>The principal elements of compensation for our executives in 2025 - base salary, annual incentive bonus and long-term incentive compensation - are discussed below.</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2025 Target Annual Direct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1058545</wp:posOffset>
            </wp:positionH>
            <wp:positionV relativeFrom="paragraph">
              <wp:posOffset>135255</wp:posOffset>
            </wp:positionV>
            <wp:extent cx="4993640" cy="1706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993640" cy="170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520" w:hanging="102"/>
        <w:spacing w:after="0"/>
        <w:tabs>
          <w:tab w:leader="none" w:pos="1520" w:val="left"/>
        </w:tabs>
        <w:numPr>
          <w:ilvl w:val="0"/>
          <w:numId w:val="23"/>
        </w:numPr>
        <w:rPr>
          <w:rFonts w:ascii="Arial" w:cs="Arial" w:eastAsia="Arial" w:hAnsi="Arial"/>
          <w:sz w:val="25"/>
          <w:szCs w:val="25"/>
          <w:color w:val="auto"/>
          <w:vertAlign w:val="superscript"/>
        </w:rPr>
      </w:pPr>
      <w:r>
        <w:rPr>
          <w:rFonts w:ascii="Arial" w:cs="Arial" w:eastAsia="Arial" w:hAnsi="Arial"/>
          <w:sz w:val="15"/>
          <w:szCs w:val="15"/>
          <w:color w:val="auto"/>
        </w:rPr>
        <w:t>Does not sum to 100% due to rounding.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Base Salary</w:t>
      </w:r>
    </w:p>
    <w:p>
      <w:pPr>
        <w:spacing w:after="0" w:line="191" w:lineRule="exact"/>
        <w:rPr>
          <w:sz w:val="20"/>
          <w:szCs w:val="20"/>
          <w:color w:val="auto"/>
        </w:rPr>
      </w:pPr>
    </w:p>
    <w:p>
      <w:pPr>
        <w:ind w:right="460" w:firstLine="299"/>
        <w:spacing w:after="0" w:line="244" w:lineRule="auto"/>
        <w:rPr>
          <w:sz w:val="20"/>
          <w:szCs w:val="20"/>
          <w:color w:val="auto"/>
        </w:rPr>
      </w:pPr>
      <w:r>
        <w:rPr>
          <w:rFonts w:ascii="Arial" w:cs="Arial" w:eastAsia="Arial" w:hAnsi="Arial"/>
          <w:sz w:val="18"/>
          <w:szCs w:val="18"/>
          <w:color w:val="auto"/>
        </w:rPr>
        <w:t>As discussed above under “Compensation Philosophy”, the Company’s compensation program emphasizes variable long-term incentive compensation, rather than fixed entitlements. Accordingly, we pay our executive officers salaries that we believe to be below market. In 2025, the cap on base salaries for Named Executive Officers was unchanged at $600,000, which remains generally below market.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Annual Incentive Bonuses</w:t>
      </w:r>
    </w:p>
    <w:p>
      <w:pPr>
        <w:spacing w:after="0" w:line="179" w:lineRule="exact"/>
        <w:rPr>
          <w:sz w:val="20"/>
          <w:szCs w:val="20"/>
          <w:color w:val="auto"/>
        </w:rPr>
      </w:pPr>
    </w:p>
    <w:p>
      <w:pPr>
        <w:ind w:firstLine="299"/>
        <w:spacing w:after="0" w:line="244" w:lineRule="auto"/>
        <w:rPr>
          <w:sz w:val="20"/>
          <w:szCs w:val="20"/>
          <w:color w:val="auto"/>
        </w:rPr>
      </w:pPr>
      <w:r>
        <w:rPr>
          <w:rFonts w:ascii="Arial" w:cs="Arial" w:eastAsia="Arial" w:hAnsi="Arial"/>
          <w:sz w:val="18"/>
          <w:szCs w:val="18"/>
          <w:color w:val="auto"/>
        </w:rPr>
        <w:t xml:space="preserve">We provide annual bonus opportunities to our executive officers, </w:t>
      </w:r>
      <w:r>
        <w:rPr>
          <w:rFonts w:ascii="Arial" w:cs="Arial" w:eastAsia="Arial" w:hAnsi="Arial"/>
          <w:sz w:val="18"/>
          <w:szCs w:val="18"/>
          <w:b w:val="1"/>
          <w:bCs w:val="1"/>
          <w:color w:val="auto"/>
        </w:rPr>
        <w:t>which make up a relatively small percentage of each NEO’s target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total annual compensation – approximately 8% for our CEO and 14% on average for the other NEOs in 2025 </w:t>
      </w:r>
      <w:r>
        <w:rPr>
          <w:rFonts w:ascii="Arial" w:cs="Arial" w:eastAsia="Arial" w:hAnsi="Arial"/>
          <w:sz w:val="18"/>
          <w:szCs w:val="18"/>
          <w:color w:val="auto"/>
        </w:rPr>
        <w:t>– as the bulk of our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 compensation opportunity is tied to long-term incentives. Each NEO participates in the annual bonus pool applicable to the parent holding companies. For 2025, the target bonus pool was $11.7 million for 64 employees.</w:t>
      </w:r>
    </w:p>
    <w:p>
      <w:pPr>
        <w:spacing w:after="0" w:line="154" w:lineRule="exact"/>
        <w:rPr>
          <w:sz w:val="20"/>
          <w:szCs w:val="20"/>
          <w:color w:val="auto"/>
        </w:rPr>
      </w:pPr>
    </w:p>
    <w:p>
      <w:pPr>
        <w:ind w:right="60" w:firstLine="299"/>
        <w:spacing w:after="0" w:line="235" w:lineRule="auto"/>
        <w:rPr>
          <w:sz w:val="20"/>
          <w:szCs w:val="20"/>
          <w:color w:val="auto"/>
        </w:rPr>
      </w:pPr>
      <w:r>
        <w:rPr>
          <w:rFonts w:ascii="Arial" w:cs="Arial" w:eastAsia="Arial" w:hAnsi="Arial"/>
          <w:sz w:val="18"/>
          <w:szCs w:val="18"/>
          <w:color w:val="auto"/>
        </w:rPr>
        <w:t xml:space="preserve">Under our formulaic annual bonus program, the level of payout is determined by reference to the Company’s growth in CVPS, which is defined by the CNG Committee as the average of growth in BVPS and growth in “intrinsic value per share,” which is the BVPS including franchise value adjustments to reflect the fair value of certain subsidiaries/affiliates carried at book value. In choosing this metric for the annual bonus program, the CNG Committee recognized that this is the same metric as used in a portion of the Company’s long-term incentives (albeit for a different time period). </w:t>
      </w:r>
      <w:r>
        <w:rPr>
          <w:rFonts w:ascii="Arial" w:cs="Arial" w:eastAsia="Arial" w:hAnsi="Arial"/>
          <w:sz w:val="18"/>
          <w:szCs w:val="18"/>
          <w:b w:val="1"/>
          <w:bCs w:val="1"/>
          <w:color w:val="auto"/>
        </w:rPr>
        <w:t>The CNG Committee considered a number of other metrics but concluded that no other</w:t>
      </w:r>
      <w:r>
        <w:rPr>
          <w:rFonts w:ascii="Arial" w:cs="Arial" w:eastAsia="Arial" w:hAnsi="Arial"/>
          <w:sz w:val="18"/>
          <w:szCs w:val="18"/>
          <w:color w:val="auto"/>
        </w:rPr>
        <w:t xml:space="preserve"> </w:t>
      </w:r>
      <w:r>
        <w:rPr>
          <w:rFonts w:ascii="Arial" w:cs="Arial" w:eastAsia="Arial" w:hAnsi="Arial"/>
          <w:sz w:val="18"/>
          <w:szCs w:val="18"/>
          <w:b w:val="1"/>
          <w:bCs w:val="1"/>
          <w:color w:val="auto"/>
        </w:rPr>
        <w:t>metric is as pertinent to our business as CVPS</w:t>
      </w:r>
      <w:r>
        <w:rPr>
          <w:rFonts w:ascii="Arial" w:cs="Arial" w:eastAsia="Arial" w:hAnsi="Arial"/>
          <w:sz w:val="18"/>
          <w:szCs w:val="18"/>
          <w:color w:val="auto"/>
        </w:rPr>
        <w:t>. CVPS is the metric that the Board and the management team focus on because it is</w:t>
      </w:r>
      <w:r>
        <w:rPr>
          <w:rFonts w:ascii="Arial" w:cs="Arial" w:eastAsia="Arial" w:hAnsi="Arial"/>
          <w:sz w:val="18"/>
          <w:szCs w:val="18"/>
          <w:b w:val="1"/>
          <w:bCs w:val="1"/>
          <w:color w:val="auto"/>
        </w:rPr>
        <w:t xml:space="preserve"> </w:t>
      </w:r>
      <w:r>
        <w:rPr>
          <w:rFonts w:ascii="Arial" w:cs="Arial" w:eastAsia="Arial" w:hAnsi="Arial"/>
          <w:sz w:val="18"/>
          <w:szCs w:val="18"/>
          <w:color w:val="auto"/>
        </w:rPr>
        <w:t>linked to growth in book value per share metrics, which we believe is what ultimately drives growth in our share price. The 2025 annual bonus pool could range from 0% to 200% of target, based on the harvest scale of 6%-11%-16% growth in CVPS. In setting this performance scale, the CNG Committee’s goal was to set a performance target that was reasonable, but with an appropriate degree of stretch. The 11% target was roughly equal to the Company’s return target of the yield on the 10-year Treasury plus 700 basis points.</w:t>
      </w:r>
    </w:p>
    <w:p>
      <w:pPr>
        <w:spacing w:after="0" w:line="163" w:lineRule="exact"/>
        <w:rPr>
          <w:sz w:val="20"/>
          <w:szCs w:val="20"/>
          <w:color w:val="auto"/>
        </w:rPr>
      </w:pPr>
    </w:p>
    <w:p>
      <w:pPr>
        <w:ind w:right="460" w:firstLine="299"/>
        <w:spacing w:after="0" w:line="270" w:lineRule="auto"/>
        <w:rPr>
          <w:sz w:val="20"/>
          <w:szCs w:val="20"/>
          <w:color w:val="auto"/>
        </w:rPr>
      </w:pPr>
      <w:r>
        <w:rPr>
          <w:rFonts w:ascii="Arial" w:cs="Arial" w:eastAsia="Arial" w:hAnsi="Arial"/>
          <w:sz w:val="18"/>
          <w:szCs w:val="18"/>
          <w:color w:val="auto"/>
        </w:rPr>
        <w:t>For our executive officers, the CNG Committee maintains the discretion to decrease, but not increase, the individual annual bonus payouts after the quantitative formula has been applied. Our executive officers cannot receive more than the formulaic result.</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20"/>
          </w:cols>
          <w:pgMar w:left="320" w:top="817" w:right="359" w:bottom="1440" w:gutter="0" w:footer="0" w:header="0"/>
        </w:sectPr>
      </w:pPr>
    </w:p>
    <w:bookmarkStart w:id="41" w:name="page42"/>
    <w:bookmarkEnd w:id="41"/>
    <w:p>
      <w:pPr>
        <w:ind w:firstLine="299"/>
        <w:spacing w:after="0"/>
        <w:rPr>
          <w:sz w:val="20"/>
          <w:szCs w:val="20"/>
          <w:color w:val="auto"/>
        </w:rPr>
      </w:pPr>
      <w:r>
        <w:rPr>
          <w:rFonts w:ascii="Arial" w:cs="Arial" w:eastAsia="Arial" w:hAnsi="Arial"/>
          <w:sz w:val="18"/>
          <w:szCs w:val="18"/>
          <w:color w:val="auto"/>
        </w:rPr>
        <w:t>For 2025, the NEOs had base salaries which were unchanged from 2024, and target annual bonuses of 100% of salary, which were increased from 75% of salary in 2024. The CNG Committee believes that, inclusive of the bonus target change in 2025, executive officer salary and bonus target levels remain below general market practice and continue to reflect the CNG Committee’s long-standing philosophy of linking a vast majority of executives’ compensation to long-term incentives in order to align their interests with those of our shareholders, as opposed to awarding high levels of fixed cash compensation.</w:t>
      </w:r>
    </w:p>
    <w:p>
      <w:pPr>
        <w:spacing w:after="0" w:line="160" w:lineRule="exact"/>
        <w:rPr>
          <w:sz w:val="20"/>
          <w:szCs w:val="20"/>
          <w:color w:val="auto"/>
        </w:rPr>
      </w:pPr>
    </w:p>
    <w:p>
      <w:pPr>
        <w:ind w:right="500" w:firstLine="299"/>
        <w:spacing w:after="0" w:line="270" w:lineRule="auto"/>
        <w:rPr>
          <w:sz w:val="20"/>
          <w:szCs w:val="20"/>
          <w:color w:val="auto"/>
        </w:rPr>
      </w:pPr>
      <w:r>
        <w:rPr>
          <w:rFonts w:ascii="Arial" w:cs="Arial" w:eastAsia="Arial" w:hAnsi="Arial"/>
          <w:sz w:val="18"/>
          <w:szCs w:val="18"/>
          <w:color w:val="auto"/>
        </w:rPr>
        <w:t>Based on the Company’s performance of a 22.8% increase in CVPS in 2025, the CNG Committee awarded the NEOs bonuses of 200% of target.</w:t>
      </w:r>
    </w:p>
    <w:p>
      <w:pPr>
        <w:spacing w:after="0" w:line="145"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2840" w:type="dxa"/>
            <w:vAlign w:val="bottom"/>
          </w:tcPr>
          <w:p>
            <w:pPr>
              <w:spacing w:after="0"/>
              <w:rPr>
                <w:sz w:val="17"/>
                <w:szCs w:val="17"/>
                <w:color w:val="auto"/>
              </w:rPr>
            </w:pPr>
          </w:p>
        </w:tc>
        <w:tc>
          <w:tcPr>
            <w:tcW w:w="2060" w:type="dxa"/>
            <w:vAlign w:val="bottom"/>
            <w:shd w:val="clear" w:color="auto" w:fill="002060"/>
          </w:tcPr>
          <w:p>
            <w:pPr>
              <w:spacing w:after="0"/>
              <w:rPr>
                <w:sz w:val="17"/>
                <w:szCs w:val="17"/>
                <w:color w:val="auto"/>
              </w:rPr>
            </w:pPr>
          </w:p>
        </w:tc>
        <w:tc>
          <w:tcPr>
            <w:tcW w:w="3200" w:type="dxa"/>
            <w:vAlign w:val="bottom"/>
            <w:shd w:val="clear" w:color="auto" w:fill="002060"/>
          </w:tcPr>
          <w:p>
            <w:pPr>
              <w:jc w:val="center"/>
              <w:spacing w:after="0"/>
              <w:rPr>
                <w:sz w:val="20"/>
                <w:szCs w:val="20"/>
                <w:color w:val="auto"/>
              </w:rPr>
            </w:pPr>
            <w:r>
              <w:rPr>
                <w:rFonts w:ascii="Arial" w:cs="Arial" w:eastAsia="Arial" w:hAnsi="Arial"/>
                <w:sz w:val="18"/>
                <w:szCs w:val="18"/>
                <w:b w:val="1"/>
                <w:bCs w:val="1"/>
                <w:color w:val="FFFFFF"/>
              </w:rPr>
              <w:t>2025 Annual Bonus Decisions</w:t>
            </w:r>
          </w:p>
        </w:tc>
        <w:tc>
          <w:tcPr>
            <w:tcW w:w="2020" w:type="dxa"/>
            <w:vAlign w:val="bottom"/>
            <w:shd w:val="clear" w:color="auto" w:fill="002060"/>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2840" w:type="dxa"/>
            <w:vAlign w:val="bottom"/>
            <w:shd w:val="clear" w:color="auto" w:fill="002060"/>
          </w:tcPr>
          <w:p>
            <w:pPr>
              <w:ind w:left="1000"/>
              <w:spacing w:after="0"/>
              <w:rPr>
                <w:sz w:val="20"/>
                <w:szCs w:val="20"/>
                <w:color w:val="auto"/>
              </w:rPr>
            </w:pPr>
            <w:r>
              <w:rPr>
                <w:rFonts w:ascii="Arial" w:cs="Arial" w:eastAsia="Arial" w:hAnsi="Arial"/>
                <w:sz w:val="18"/>
                <w:szCs w:val="18"/>
                <w:b w:val="1"/>
                <w:bCs w:val="1"/>
                <w:color w:val="FFFFFF"/>
              </w:rPr>
              <w:t>Executive</w:t>
            </w:r>
          </w:p>
        </w:tc>
        <w:tc>
          <w:tcPr>
            <w:tcW w:w="2060" w:type="dxa"/>
            <w:vAlign w:val="bottom"/>
            <w:shd w:val="clear" w:color="auto" w:fill="002060"/>
          </w:tcPr>
          <w:p>
            <w:pPr>
              <w:jc w:val="center"/>
              <w:ind w:left="289"/>
              <w:spacing w:after="0"/>
              <w:rPr>
                <w:sz w:val="20"/>
                <w:szCs w:val="20"/>
                <w:color w:val="auto"/>
              </w:rPr>
            </w:pPr>
            <w:r>
              <w:rPr>
                <w:rFonts w:ascii="Arial" w:cs="Arial" w:eastAsia="Arial" w:hAnsi="Arial"/>
                <w:sz w:val="18"/>
                <w:szCs w:val="18"/>
                <w:b w:val="1"/>
                <w:bCs w:val="1"/>
                <w:color w:val="FFFFFF"/>
                <w:w w:val="99"/>
              </w:rPr>
              <w:t>Target Bonus</w:t>
            </w:r>
          </w:p>
        </w:tc>
        <w:tc>
          <w:tcPr>
            <w:tcW w:w="3200" w:type="dxa"/>
            <w:vAlign w:val="bottom"/>
            <w:shd w:val="clear" w:color="auto" w:fill="002060"/>
          </w:tcPr>
          <w:p>
            <w:pPr>
              <w:jc w:val="center"/>
              <w:spacing w:after="0"/>
              <w:rPr>
                <w:sz w:val="20"/>
                <w:szCs w:val="20"/>
                <w:color w:val="auto"/>
              </w:rPr>
            </w:pPr>
            <w:r>
              <w:rPr>
                <w:rFonts w:ascii="Arial" w:cs="Arial" w:eastAsia="Arial" w:hAnsi="Arial"/>
                <w:sz w:val="18"/>
                <w:szCs w:val="18"/>
                <w:b w:val="1"/>
                <w:bCs w:val="1"/>
                <w:color w:val="FFFFFF"/>
              </w:rPr>
              <w:t>Earned Bonus</w:t>
            </w:r>
          </w:p>
        </w:tc>
        <w:tc>
          <w:tcPr>
            <w:tcW w:w="2020" w:type="dxa"/>
            <w:vAlign w:val="bottom"/>
            <w:shd w:val="clear" w:color="auto" w:fill="002060"/>
          </w:tcPr>
          <w:p>
            <w:pPr>
              <w:jc w:val="center"/>
              <w:ind w:right="309"/>
              <w:spacing w:after="0"/>
              <w:rPr>
                <w:sz w:val="20"/>
                <w:szCs w:val="20"/>
                <w:color w:val="auto"/>
              </w:rPr>
            </w:pPr>
            <w:r>
              <w:rPr>
                <w:rFonts w:ascii="Arial" w:cs="Arial" w:eastAsia="Arial" w:hAnsi="Arial"/>
                <w:sz w:val="18"/>
                <w:szCs w:val="18"/>
                <w:b w:val="1"/>
                <w:bCs w:val="1"/>
                <w:color w:val="FFFFFF"/>
                <w:w w:val="99"/>
              </w:rPr>
              <w:t>% of Target</w:t>
            </w:r>
          </w:p>
        </w:tc>
        <w:tc>
          <w:tcPr>
            <w:tcW w:w="20" w:type="dxa"/>
            <w:vAlign w:val="bottom"/>
          </w:tcPr>
          <w:p>
            <w:pPr>
              <w:spacing w:after="0"/>
              <w:rPr>
                <w:sz w:val="18"/>
                <w:szCs w:val="18"/>
                <w:color w:val="auto"/>
              </w:rPr>
            </w:pPr>
          </w:p>
        </w:tc>
      </w:tr>
      <w:tr>
        <w:trPr>
          <w:trHeight w:val="199"/>
        </w:trPr>
        <w:tc>
          <w:tcPr>
            <w:tcW w:w="2840" w:type="dxa"/>
            <w:vAlign w:val="bottom"/>
          </w:tcPr>
          <w:p>
            <w:pPr>
              <w:ind w:left="80"/>
              <w:spacing w:after="0" w:line="199" w:lineRule="exact"/>
              <w:rPr>
                <w:sz w:val="20"/>
                <w:szCs w:val="20"/>
                <w:color w:val="auto"/>
              </w:rPr>
            </w:pPr>
            <w:r>
              <w:rPr>
                <w:rFonts w:ascii="Arial" w:cs="Arial" w:eastAsia="Arial" w:hAnsi="Arial"/>
                <w:sz w:val="18"/>
                <w:szCs w:val="18"/>
                <w:b w:val="1"/>
                <w:bCs w:val="1"/>
                <w:color w:val="auto"/>
              </w:rPr>
              <w:t>G. Manning Rountree</w:t>
            </w:r>
          </w:p>
        </w:tc>
        <w:tc>
          <w:tcPr>
            <w:tcW w:w="2060" w:type="dxa"/>
            <w:vAlign w:val="bottom"/>
          </w:tcPr>
          <w:p>
            <w:pPr>
              <w:jc w:val="center"/>
              <w:ind w:left="289"/>
              <w:spacing w:after="0" w:line="199" w:lineRule="exact"/>
              <w:rPr>
                <w:sz w:val="20"/>
                <w:szCs w:val="20"/>
                <w:color w:val="auto"/>
              </w:rPr>
            </w:pPr>
            <w:r>
              <w:rPr>
                <w:rFonts w:ascii="Arial" w:cs="Arial" w:eastAsia="Arial" w:hAnsi="Arial"/>
                <w:sz w:val="18"/>
                <w:szCs w:val="18"/>
                <w:color w:val="auto"/>
              </w:rPr>
              <w:t>$600,000</w:t>
            </w:r>
          </w:p>
        </w:tc>
        <w:tc>
          <w:tcPr>
            <w:tcW w:w="3200" w:type="dxa"/>
            <w:vAlign w:val="bottom"/>
          </w:tcPr>
          <w:p>
            <w:pPr>
              <w:jc w:val="center"/>
              <w:spacing w:after="0" w:line="199" w:lineRule="exact"/>
              <w:rPr>
                <w:sz w:val="20"/>
                <w:szCs w:val="20"/>
                <w:color w:val="auto"/>
              </w:rPr>
            </w:pPr>
            <w:r>
              <w:rPr>
                <w:rFonts w:ascii="Arial" w:cs="Arial" w:eastAsia="Arial" w:hAnsi="Arial"/>
                <w:sz w:val="18"/>
                <w:szCs w:val="18"/>
                <w:color w:val="auto"/>
              </w:rPr>
              <w:t>$1,200,000</w:t>
            </w:r>
          </w:p>
        </w:tc>
        <w:tc>
          <w:tcPr>
            <w:tcW w:w="2020" w:type="dxa"/>
            <w:vAlign w:val="bottom"/>
          </w:tcPr>
          <w:p>
            <w:pPr>
              <w:jc w:val="center"/>
              <w:ind w:right="309"/>
              <w:spacing w:after="0" w:line="199" w:lineRule="exact"/>
              <w:rPr>
                <w:sz w:val="20"/>
                <w:szCs w:val="20"/>
                <w:color w:val="auto"/>
              </w:rPr>
            </w:pPr>
            <w:r>
              <w:rPr>
                <w:rFonts w:ascii="Arial" w:cs="Arial" w:eastAsia="Arial" w:hAnsi="Arial"/>
                <w:sz w:val="18"/>
                <w:szCs w:val="18"/>
                <w:color w:val="auto"/>
                <w:w w:val="99"/>
              </w:rPr>
              <w:t>200%</w:t>
            </w:r>
          </w:p>
        </w:tc>
        <w:tc>
          <w:tcPr>
            <w:tcW w:w="20" w:type="dxa"/>
            <w:vAlign w:val="bottom"/>
          </w:tcPr>
          <w:p>
            <w:pPr>
              <w:spacing w:after="0"/>
              <w:rPr>
                <w:sz w:val="17"/>
                <w:szCs w:val="17"/>
                <w:color w:val="auto"/>
              </w:rPr>
            </w:pPr>
          </w:p>
        </w:tc>
      </w:tr>
      <w:tr>
        <w:trPr>
          <w:trHeight w:val="199"/>
        </w:trPr>
        <w:tc>
          <w:tcPr>
            <w:tcW w:w="2840" w:type="dxa"/>
            <w:vAlign w:val="bottom"/>
            <w:shd w:val="clear" w:color="auto" w:fill="C3D5EE"/>
          </w:tcPr>
          <w:p>
            <w:pPr>
              <w:ind w:left="80"/>
              <w:spacing w:after="0" w:line="199" w:lineRule="exact"/>
              <w:rPr>
                <w:sz w:val="20"/>
                <w:szCs w:val="20"/>
                <w:color w:val="auto"/>
              </w:rPr>
            </w:pPr>
            <w:r>
              <w:rPr>
                <w:rFonts w:ascii="Arial" w:cs="Arial" w:eastAsia="Arial" w:hAnsi="Arial"/>
                <w:sz w:val="18"/>
                <w:szCs w:val="18"/>
                <w:b w:val="1"/>
                <w:bCs w:val="1"/>
                <w:color w:val="auto"/>
              </w:rPr>
              <w:t>Liam P. Caffrey</w:t>
            </w:r>
          </w:p>
        </w:tc>
        <w:tc>
          <w:tcPr>
            <w:tcW w:w="2060" w:type="dxa"/>
            <w:vAlign w:val="bottom"/>
            <w:shd w:val="clear" w:color="auto" w:fill="C3D5EE"/>
          </w:tcPr>
          <w:p>
            <w:pPr>
              <w:jc w:val="center"/>
              <w:ind w:left="289"/>
              <w:spacing w:after="0" w:line="199" w:lineRule="exact"/>
              <w:rPr>
                <w:sz w:val="20"/>
                <w:szCs w:val="20"/>
                <w:color w:val="auto"/>
              </w:rPr>
            </w:pPr>
            <w:r>
              <w:rPr>
                <w:rFonts w:ascii="Arial" w:cs="Arial" w:eastAsia="Arial" w:hAnsi="Arial"/>
                <w:sz w:val="18"/>
                <w:szCs w:val="18"/>
                <w:color w:val="auto"/>
              </w:rPr>
              <w:t>$600,000</w:t>
            </w:r>
          </w:p>
        </w:tc>
        <w:tc>
          <w:tcPr>
            <w:tcW w:w="3200" w:type="dxa"/>
            <w:vAlign w:val="bottom"/>
            <w:shd w:val="clear" w:color="auto" w:fill="C3D5EE"/>
          </w:tcPr>
          <w:p>
            <w:pPr>
              <w:jc w:val="center"/>
              <w:spacing w:after="0" w:line="199" w:lineRule="exact"/>
              <w:rPr>
                <w:sz w:val="20"/>
                <w:szCs w:val="20"/>
                <w:color w:val="auto"/>
              </w:rPr>
            </w:pPr>
            <w:r>
              <w:rPr>
                <w:rFonts w:ascii="Arial" w:cs="Arial" w:eastAsia="Arial" w:hAnsi="Arial"/>
                <w:sz w:val="18"/>
                <w:szCs w:val="18"/>
                <w:color w:val="auto"/>
              </w:rPr>
              <w:t>$1,200,000</w:t>
            </w:r>
          </w:p>
        </w:tc>
        <w:tc>
          <w:tcPr>
            <w:tcW w:w="2020" w:type="dxa"/>
            <w:vAlign w:val="bottom"/>
            <w:shd w:val="clear" w:color="auto" w:fill="C3D5EE"/>
          </w:tcPr>
          <w:p>
            <w:pPr>
              <w:jc w:val="center"/>
              <w:ind w:right="309"/>
              <w:spacing w:after="0" w:line="199" w:lineRule="exact"/>
              <w:rPr>
                <w:sz w:val="20"/>
                <w:szCs w:val="20"/>
                <w:color w:val="auto"/>
              </w:rPr>
            </w:pPr>
            <w:r>
              <w:rPr>
                <w:rFonts w:ascii="Arial" w:cs="Arial" w:eastAsia="Arial" w:hAnsi="Arial"/>
                <w:sz w:val="18"/>
                <w:szCs w:val="18"/>
                <w:color w:val="auto"/>
                <w:w w:val="99"/>
              </w:rPr>
              <w:t>200%</w:t>
            </w:r>
          </w:p>
        </w:tc>
        <w:tc>
          <w:tcPr>
            <w:tcW w:w="20" w:type="dxa"/>
            <w:vAlign w:val="bottom"/>
            <w:shd w:val="clear" w:color="auto" w:fill="E7E6E6"/>
          </w:tcPr>
          <w:p>
            <w:pPr>
              <w:spacing w:after="0"/>
              <w:rPr>
                <w:sz w:val="17"/>
                <w:szCs w:val="17"/>
                <w:color w:val="auto"/>
              </w:rPr>
            </w:pPr>
          </w:p>
        </w:tc>
      </w:tr>
      <w:tr>
        <w:trPr>
          <w:trHeight w:val="249"/>
        </w:trPr>
        <w:tc>
          <w:tcPr>
            <w:tcW w:w="2840" w:type="dxa"/>
            <w:vAlign w:val="bottom"/>
          </w:tcPr>
          <w:p>
            <w:pPr>
              <w:ind w:left="80"/>
              <w:spacing w:after="0" w:line="249" w:lineRule="exact"/>
              <w:rPr>
                <w:sz w:val="20"/>
                <w:szCs w:val="20"/>
                <w:color w:val="auto"/>
              </w:rPr>
            </w:pPr>
            <w:r>
              <w:rPr>
                <w:rFonts w:ascii="Arial" w:cs="Arial" w:eastAsia="Arial" w:hAnsi="Arial"/>
                <w:sz w:val="17"/>
                <w:szCs w:val="17"/>
                <w:b w:val="1"/>
                <w:bCs w:val="1"/>
                <w:color w:val="auto"/>
              </w:rPr>
              <w:t>Giles E. Harrison</w:t>
            </w:r>
            <w:r>
              <w:rPr>
                <w:rFonts w:ascii="Arial" w:cs="Arial" w:eastAsia="Arial" w:hAnsi="Arial"/>
                <w:sz w:val="28"/>
                <w:szCs w:val="28"/>
                <w:b w:val="1"/>
                <w:bCs w:val="1"/>
                <w:color w:val="auto"/>
                <w:vertAlign w:val="superscript"/>
              </w:rPr>
              <w:t>1</w:t>
            </w:r>
          </w:p>
        </w:tc>
        <w:tc>
          <w:tcPr>
            <w:tcW w:w="2060" w:type="dxa"/>
            <w:vAlign w:val="bottom"/>
          </w:tcPr>
          <w:p>
            <w:pPr>
              <w:jc w:val="center"/>
              <w:ind w:left="289"/>
              <w:spacing w:after="0"/>
              <w:rPr>
                <w:sz w:val="20"/>
                <w:szCs w:val="20"/>
                <w:color w:val="auto"/>
              </w:rPr>
            </w:pPr>
            <w:r>
              <w:rPr>
                <w:rFonts w:ascii="Arial" w:cs="Arial" w:eastAsia="Arial" w:hAnsi="Arial"/>
                <w:sz w:val="18"/>
                <w:szCs w:val="18"/>
                <w:color w:val="auto"/>
              </w:rPr>
              <w:t>$600,000</w:t>
            </w:r>
          </w:p>
        </w:tc>
        <w:tc>
          <w:tcPr>
            <w:tcW w:w="3200" w:type="dxa"/>
            <w:vAlign w:val="bottom"/>
          </w:tcPr>
          <w:p>
            <w:pPr>
              <w:jc w:val="center"/>
              <w:spacing w:after="0"/>
              <w:rPr>
                <w:sz w:val="20"/>
                <w:szCs w:val="20"/>
                <w:color w:val="auto"/>
              </w:rPr>
            </w:pPr>
            <w:r>
              <w:rPr>
                <w:rFonts w:ascii="Arial" w:cs="Arial" w:eastAsia="Arial" w:hAnsi="Arial"/>
                <w:sz w:val="18"/>
                <w:szCs w:val="18"/>
                <w:color w:val="auto"/>
              </w:rPr>
              <w:t>$1,200,000</w:t>
            </w:r>
          </w:p>
        </w:tc>
        <w:tc>
          <w:tcPr>
            <w:tcW w:w="2020" w:type="dxa"/>
            <w:vAlign w:val="bottom"/>
          </w:tcPr>
          <w:p>
            <w:pPr>
              <w:jc w:val="center"/>
              <w:ind w:right="309"/>
              <w:spacing w:after="0"/>
              <w:rPr>
                <w:sz w:val="20"/>
                <w:szCs w:val="20"/>
                <w:color w:val="auto"/>
              </w:rPr>
            </w:pPr>
            <w:r>
              <w:rPr>
                <w:rFonts w:ascii="Arial" w:cs="Arial" w:eastAsia="Arial" w:hAnsi="Arial"/>
                <w:sz w:val="18"/>
                <w:szCs w:val="18"/>
                <w:color w:val="auto"/>
                <w:w w:val="99"/>
              </w:rPr>
              <w:t>200%</w:t>
            </w:r>
          </w:p>
        </w:tc>
        <w:tc>
          <w:tcPr>
            <w:tcW w:w="20" w:type="dxa"/>
            <w:vAlign w:val="bottom"/>
            <w:shd w:val="clear" w:color="auto" w:fill="E7E6E6"/>
          </w:tcPr>
          <w:p>
            <w:pPr>
              <w:spacing w:after="0"/>
              <w:rPr>
                <w:sz w:val="21"/>
                <w:szCs w:val="21"/>
                <w:color w:val="auto"/>
              </w:rPr>
            </w:pPr>
          </w:p>
        </w:tc>
      </w:tr>
      <w:tr>
        <w:trPr>
          <w:trHeight w:val="199"/>
        </w:trPr>
        <w:tc>
          <w:tcPr>
            <w:tcW w:w="2840" w:type="dxa"/>
            <w:vAlign w:val="bottom"/>
            <w:shd w:val="clear" w:color="auto" w:fill="C3D5EE"/>
          </w:tcPr>
          <w:p>
            <w:pPr>
              <w:ind w:left="80"/>
              <w:spacing w:after="0" w:line="199" w:lineRule="exact"/>
              <w:rPr>
                <w:sz w:val="20"/>
                <w:szCs w:val="20"/>
                <w:color w:val="auto"/>
              </w:rPr>
            </w:pPr>
            <w:r>
              <w:rPr>
                <w:rFonts w:ascii="Arial" w:cs="Arial" w:eastAsia="Arial" w:hAnsi="Arial"/>
                <w:sz w:val="18"/>
                <w:szCs w:val="18"/>
                <w:b w:val="1"/>
                <w:bCs w:val="1"/>
                <w:color w:val="auto"/>
              </w:rPr>
              <w:t>Robert L. Seelig</w:t>
            </w:r>
          </w:p>
        </w:tc>
        <w:tc>
          <w:tcPr>
            <w:tcW w:w="2060" w:type="dxa"/>
            <w:vAlign w:val="bottom"/>
            <w:shd w:val="clear" w:color="auto" w:fill="C3D5EE"/>
          </w:tcPr>
          <w:p>
            <w:pPr>
              <w:jc w:val="center"/>
              <w:ind w:left="289"/>
              <w:spacing w:after="0" w:line="199" w:lineRule="exact"/>
              <w:rPr>
                <w:sz w:val="20"/>
                <w:szCs w:val="20"/>
                <w:color w:val="auto"/>
              </w:rPr>
            </w:pPr>
            <w:r>
              <w:rPr>
                <w:rFonts w:ascii="Arial" w:cs="Arial" w:eastAsia="Arial" w:hAnsi="Arial"/>
                <w:sz w:val="18"/>
                <w:szCs w:val="18"/>
                <w:color w:val="auto"/>
              </w:rPr>
              <w:t>$600,000</w:t>
            </w:r>
          </w:p>
        </w:tc>
        <w:tc>
          <w:tcPr>
            <w:tcW w:w="3200" w:type="dxa"/>
            <w:vAlign w:val="bottom"/>
            <w:shd w:val="clear" w:color="auto" w:fill="C3D5EE"/>
          </w:tcPr>
          <w:p>
            <w:pPr>
              <w:jc w:val="center"/>
              <w:spacing w:after="0" w:line="199" w:lineRule="exact"/>
              <w:rPr>
                <w:sz w:val="20"/>
                <w:szCs w:val="20"/>
                <w:color w:val="auto"/>
              </w:rPr>
            </w:pPr>
            <w:r>
              <w:rPr>
                <w:rFonts w:ascii="Arial" w:cs="Arial" w:eastAsia="Arial" w:hAnsi="Arial"/>
                <w:sz w:val="18"/>
                <w:szCs w:val="18"/>
                <w:color w:val="auto"/>
              </w:rPr>
              <w:t>$1,200,000</w:t>
            </w:r>
          </w:p>
        </w:tc>
        <w:tc>
          <w:tcPr>
            <w:tcW w:w="2020" w:type="dxa"/>
            <w:vAlign w:val="bottom"/>
            <w:shd w:val="clear" w:color="auto" w:fill="C3D5EE"/>
          </w:tcPr>
          <w:p>
            <w:pPr>
              <w:jc w:val="center"/>
              <w:ind w:right="309"/>
              <w:spacing w:after="0" w:line="199" w:lineRule="exact"/>
              <w:rPr>
                <w:sz w:val="20"/>
                <w:szCs w:val="20"/>
                <w:color w:val="auto"/>
              </w:rPr>
            </w:pPr>
            <w:r>
              <w:rPr>
                <w:rFonts w:ascii="Arial" w:cs="Arial" w:eastAsia="Arial" w:hAnsi="Arial"/>
                <w:sz w:val="18"/>
                <w:szCs w:val="18"/>
                <w:color w:val="auto"/>
                <w:w w:val="99"/>
              </w:rPr>
              <w:t>200%</w:t>
            </w:r>
          </w:p>
        </w:tc>
        <w:tc>
          <w:tcPr>
            <w:tcW w:w="20" w:type="dxa"/>
            <w:vAlign w:val="bottom"/>
          </w:tcPr>
          <w:p>
            <w:pPr>
              <w:spacing w:after="0"/>
              <w:rPr>
                <w:sz w:val="17"/>
                <w:szCs w:val="17"/>
                <w:color w:val="auto"/>
              </w:rPr>
            </w:pPr>
          </w:p>
        </w:tc>
      </w:tr>
      <w:tr>
        <w:trPr>
          <w:trHeight w:val="211"/>
        </w:trPr>
        <w:tc>
          <w:tcPr>
            <w:tcW w:w="2840" w:type="dxa"/>
            <w:vAlign w:val="bottom"/>
          </w:tcPr>
          <w:p>
            <w:pPr>
              <w:ind w:left="80"/>
              <w:spacing w:after="0"/>
              <w:rPr>
                <w:sz w:val="20"/>
                <w:szCs w:val="20"/>
                <w:color w:val="auto"/>
              </w:rPr>
            </w:pPr>
            <w:r>
              <w:rPr>
                <w:rFonts w:ascii="Arial" w:cs="Arial" w:eastAsia="Arial" w:hAnsi="Arial"/>
                <w:sz w:val="18"/>
                <w:szCs w:val="18"/>
                <w:b w:val="1"/>
                <w:bCs w:val="1"/>
                <w:color w:val="auto"/>
              </w:rPr>
              <w:t>Michaela J. Hildreth</w:t>
            </w:r>
          </w:p>
        </w:tc>
        <w:tc>
          <w:tcPr>
            <w:tcW w:w="2060" w:type="dxa"/>
            <w:vAlign w:val="bottom"/>
          </w:tcPr>
          <w:p>
            <w:pPr>
              <w:jc w:val="center"/>
              <w:ind w:left="289"/>
              <w:spacing w:after="0"/>
              <w:rPr>
                <w:sz w:val="20"/>
                <w:szCs w:val="20"/>
                <w:color w:val="auto"/>
              </w:rPr>
            </w:pPr>
            <w:r>
              <w:rPr>
                <w:rFonts w:ascii="Arial" w:cs="Arial" w:eastAsia="Arial" w:hAnsi="Arial"/>
                <w:sz w:val="18"/>
                <w:szCs w:val="18"/>
                <w:color w:val="auto"/>
              </w:rPr>
              <w:t>$600,000</w:t>
            </w:r>
          </w:p>
        </w:tc>
        <w:tc>
          <w:tcPr>
            <w:tcW w:w="3200" w:type="dxa"/>
            <w:vAlign w:val="bottom"/>
          </w:tcPr>
          <w:p>
            <w:pPr>
              <w:jc w:val="center"/>
              <w:spacing w:after="0"/>
              <w:rPr>
                <w:sz w:val="20"/>
                <w:szCs w:val="20"/>
                <w:color w:val="auto"/>
              </w:rPr>
            </w:pPr>
            <w:r>
              <w:rPr>
                <w:rFonts w:ascii="Arial" w:cs="Arial" w:eastAsia="Arial" w:hAnsi="Arial"/>
                <w:sz w:val="18"/>
                <w:szCs w:val="18"/>
                <w:color w:val="auto"/>
              </w:rPr>
              <w:t>$1,200,000</w:t>
            </w:r>
          </w:p>
        </w:tc>
        <w:tc>
          <w:tcPr>
            <w:tcW w:w="2020" w:type="dxa"/>
            <w:vAlign w:val="bottom"/>
          </w:tcPr>
          <w:p>
            <w:pPr>
              <w:jc w:val="center"/>
              <w:ind w:right="309"/>
              <w:spacing w:after="0"/>
              <w:rPr>
                <w:sz w:val="20"/>
                <w:szCs w:val="20"/>
                <w:color w:val="auto"/>
              </w:rPr>
            </w:pPr>
            <w:r>
              <w:rPr>
                <w:rFonts w:ascii="Arial" w:cs="Arial" w:eastAsia="Arial" w:hAnsi="Arial"/>
                <w:sz w:val="18"/>
                <w:szCs w:val="18"/>
                <w:color w:val="auto"/>
                <w:w w:val="99"/>
              </w:rPr>
              <w:t>200%</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-805180</wp:posOffset>
            </wp:positionV>
            <wp:extent cx="6431915" cy="8058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31915" cy="805815"/>
                    </a:xfrm>
                    <a:prstGeom prst="rect">
                      <a:avLst/>
                    </a:prstGeom>
                    <a:noFill/>
                  </pic:spPr>
                </pic:pic>
              </a:graphicData>
            </a:graphic>
          </wp:anchor>
        </w:drawing>
      </w:r>
    </w:p>
    <w:p>
      <w:pPr>
        <w:ind w:left="520" w:hanging="132"/>
        <w:spacing w:after="0" w:line="185" w:lineRule="auto"/>
        <w:tabs>
          <w:tab w:leader="none" w:pos="520" w:val="left"/>
        </w:tabs>
        <w:numPr>
          <w:ilvl w:val="1"/>
          <w:numId w:val="24"/>
        </w:numPr>
        <w:rPr>
          <w:rFonts w:ascii="Arial" w:cs="Arial" w:eastAsia="Arial" w:hAnsi="Arial"/>
          <w:sz w:val="27"/>
          <w:szCs w:val="27"/>
          <w:color w:val="auto"/>
          <w:vertAlign w:val="superscript"/>
        </w:rPr>
      </w:pPr>
      <w:r>
        <w:rPr>
          <w:rFonts w:ascii="Arial" w:cs="Arial" w:eastAsia="Arial" w:hAnsi="Arial"/>
          <w:sz w:val="16"/>
          <w:szCs w:val="16"/>
          <w:color w:val="auto"/>
        </w:rPr>
        <w:t>Excludes a $250,000 sign-on bonus that was paid to Mr. Harrison in March 2025.</w:t>
      </w:r>
    </w:p>
    <w:p>
      <w:pPr>
        <w:spacing w:after="0" w:line="362" w:lineRule="exact"/>
        <w:rPr>
          <w:rFonts w:ascii="Arial" w:cs="Arial" w:eastAsia="Arial" w:hAnsi="Arial"/>
          <w:sz w:val="27"/>
          <w:szCs w:val="27"/>
          <w:color w:val="auto"/>
          <w:vertAlign w:val="superscript"/>
        </w:rPr>
      </w:pPr>
    </w:p>
    <w:p>
      <w:pPr>
        <w:ind w:left="200" w:hanging="200"/>
        <w:spacing w:after="0"/>
        <w:tabs>
          <w:tab w:leader="none" w:pos="2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Long-Term Incentive Compensation</w:t>
      </w:r>
    </w:p>
    <w:p>
      <w:pPr>
        <w:spacing w:after="0" w:line="191" w:lineRule="exact"/>
        <w:rPr>
          <w:sz w:val="20"/>
          <w:szCs w:val="20"/>
          <w:color w:val="auto"/>
        </w:rPr>
      </w:pPr>
    </w:p>
    <w:p>
      <w:pPr>
        <w:ind w:right="80" w:firstLine="299"/>
        <w:spacing w:after="0"/>
        <w:rPr>
          <w:sz w:val="20"/>
          <w:szCs w:val="20"/>
          <w:color w:val="auto"/>
        </w:rPr>
      </w:pPr>
      <w:r>
        <w:rPr>
          <w:rFonts w:ascii="Arial" w:cs="Arial" w:eastAsia="Arial" w:hAnsi="Arial"/>
          <w:sz w:val="18"/>
          <w:szCs w:val="18"/>
          <w:color w:val="auto"/>
        </w:rPr>
        <w:t>Long-term equity awards generally consist of an equal mix of restricted shares and performance shares, rewarding long-term value creation and aligning executives’ interests with shareholders’ interests. Restricted shares are subject to a three-year cliff-vesting provision, rather than annual vesting, in order to promote executive retention that balances incentives to redeploy capital aggressively and to remain patient for optimal opportunities for the Company and its shareholders. The number of WTM common shares earned from a grant of performance shares can range from 0%-200% of target, based on after-tax annual growth in CVPS over the three-year performance cycle.</w:t>
      </w:r>
    </w:p>
    <w:p>
      <w:pPr>
        <w:spacing w:after="0" w:line="160" w:lineRule="exact"/>
        <w:rPr>
          <w:sz w:val="20"/>
          <w:szCs w:val="20"/>
          <w:color w:val="auto"/>
        </w:rPr>
      </w:pPr>
    </w:p>
    <w:p>
      <w:pPr>
        <w:ind w:right="80" w:firstLine="299"/>
        <w:spacing w:after="0" w:line="250" w:lineRule="auto"/>
        <w:rPr>
          <w:sz w:val="20"/>
          <w:szCs w:val="20"/>
          <w:color w:val="auto"/>
        </w:rPr>
      </w:pPr>
      <w:r>
        <w:rPr>
          <w:rFonts w:ascii="Arial" w:cs="Arial" w:eastAsia="Arial" w:hAnsi="Arial"/>
          <w:sz w:val="18"/>
          <w:szCs w:val="18"/>
          <w:b w:val="1"/>
          <w:bCs w:val="1"/>
          <w:color w:val="auto"/>
        </w:rPr>
        <w:t xml:space="preserve">The CNG Committee selected performance metrics that relate to growth in book value per share because it continues to believe these metrics ultimately drive growth in our share price. </w:t>
      </w:r>
      <w:r>
        <w:rPr>
          <w:rFonts w:ascii="Arial" w:cs="Arial" w:eastAsia="Arial" w:hAnsi="Arial"/>
          <w:sz w:val="18"/>
          <w:szCs w:val="18"/>
          <w:color w:val="auto"/>
        </w:rPr>
        <w:t>The market value of our shares is not included as a direct measure of</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but it determines the ultimate value of earned performance and restricted share awards.</w:t>
      </w:r>
    </w:p>
    <w:p>
      <w:pPr>
        <w:spacing w:after="0" w:line="150" w:lineRule="exact"/>
        <w:rPr>
          <w:sz w:val="20"/>
          <w:szCs w:val="20"/>
          <w:color w:val="auto"/>
        </w:rPr>
      </w:pPr>
    </w:p>
    <w:p>
      <w:pPr>
        <w:ind w:right="140" w:firstLine="299"/>
        <w:spacing w:after="0" w:line="244" w:lineRule="auto"/>
        <w:rPr>
          <w:sz w:val="20"/>
          <w:szCs w:val="20"/>
          <w:color w:val="auto"/>
        </w:rPr>
      </w:pPr>
      <w:r>
        <w:rPr>
          <w:rFonts w:ascii="Arial" w:cs="Arial" w:eastAsia="Arial" w:hAnsi="Arial"/>
          <w:sz w:val="18"/>
          <w:szCs w:val="18"/>
          <w:color w:val="auto"/>
        </w:rPr>
        <w:t>From year-to-year when we make new long-term incentive grants, we typically adjust the target number of shares granted to individual employees to reflect the change in CVPS during the prior year, rather than focusing on changes in market values. This is consistent with our view that the change in book value per share and related metrics provides a better view of the change in value of the Company than metrics reflecting short-term market price fluctuations.</w:t>
      </w:r>
    </w:p>
    <w:p>
      <w:pPr>
        <w:spacing w:after="0" w:line="154" w:lineRule="exact"/>
        <w:rPr>
          <w:sz w:val="20"/>
          <w:szCs w:val="20"/>
          <w:color w:val="auto"/>
        </w:rPr>
      </w:pPr>
    </w:p>
    <w:p>
      <w:pPr>
        <w:ind w:right="20" w:firstLine="299"/>
        <w:spacing w:after="0" w:line="237" w:lineRule="auto"/>
        <w:rPr>
          <w:sz w:val="20"/>
          <w:szCs w:val="20"/>
          <w:color w:val="auto"/>
        </w:rPr>
      </w:pPr>
      <w:r>
        <w:rPr>
          <w:rFonts w:ascii="Arial" w:cs="Arial" w:eastAsia="Arial" w:hAnsi="Arial"/>
          <w:sz w:val="18"/>
          <w:szCs w:val="18"/>
          <w:i w:val="1"/>
          <w:iCs w:val="1"/>
          <w:u w:val="single" w:color="auto"/>
          <w:color w:val="auto"/>
        </w:rPr>
        <w:t>2025 Long-Term Incentive Grants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CEO and each of our other NEOs, the annual 2025 long-term incentive awards were</w:t>
      </w:r>
      <w:r>
        <w:rPr>
          <w:rFonts w:ascii="Arial" w:cs="Arial" w:eastAsia="Arial" w:hAnsi="Arial"/>
          <w:sz w:val="18"/>
          <w:szCs w:val="18"/>
          <w:i w:val="1"/>
          <w:iCs w:val="1"/>
          <w:color w:val="auto"/>
        </w:rPr>
        <w:t xml:space="preserve"> </w:t>
      </w:r>
      <w:r>
        <w:rPr>
          <w:rFonts w:ascii="Arial" w:cs="Arial" w:eastAsia="Arial" w:hAnsi="Arial"/>
          <w:sz w:val="18"/>
          <w:szCs w:val="18"/>
          <w:color w:val="auto"/>
        </w:rPr>
        <w:t>allocated 50% as performance shares and 50% as restricted shares, consistent with prior years. With respect to the total grants made to employees across the Company, the CNG Committee granted 21,340 target shares for the 2025-2027 performance cycle, which represented an approximately 6% decrease, year-over-year, in the number of shares granted. These grants totaled approximately 0.8% of the then outstanding shares. The restricted shares are subject to a three-year cliff-vesting provision based on continuous service in order to promote the retention of key executive talent. The performance shares vest in a range of 0% - 200% of target following a three-year performance period.</w:t>
      </w:r>
    </w:p>
    <w:p>
      <w:pPr>
        <w:spacing w:after="0" w:line="162" w:lineRule="exact"/>
        <w:rPr>
          <w:sz w:val="20"/>
          <w:szCs w:val="20"/>
          <w:color w:val="auto"/>
        </w:rPr>
      </w:pPr>
    </w:p>
    <w:p>
      <w:pPr>
        <w:ind w:right="60" w:firstLine="299"/>
        <w:spacing w:after="0" w:line="238" w:lineRule="auto"/>
        <w:rPr>
          <w:sz w:val="20"/>
          <w:szCs w:val="20"/>
          <w:color w:val="auto"/>
        </w:rPr>
      </w:pPr>
      <w:r>
        <w:rPr>
          <w:rFonts w:ascii="Arial" w:cs="Arial" w:eastAsia="Arial" w:hAnsi="Arial"/>
          <w:sz w:val="18"/>
          <w:szCs w:val="18"/>
          <w:color w:val="auto"/>
        </w:rPr>
        <w:t>For the 2025-2027 performance period, the CNG Committee established a target of 11.5% annual growth in CVPS as the performance target that would result in the payout of 100% of the target performance shares. There would be no payout for annual growth of 6% or less, and annual growth of 17% or more would be required for a payout of 200%. In setting this performance scale, the CNG Committee’s goal was to set a performance target that was reasonable, but with an appropriate degree of stretch. Importantly, the 11.5% target was roughly equal to the Company’s long-term return target of the yield on the 10-year Treasury plus 700 basis points, consistent with the Company’s practice for several years.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42" w:name="page43"/>
    <w:bookmarkEnd w:id="42"/>
    <w:p>
      <w:pPr>
        <w:ind w:left="300"/>
        <w:spacing w:after="0"/>
        <w:rPr>
          <w:sz w:val="20"/>
          <w:szCs w:val="20"/>
          <w:color w:val="auto"/>
        </w:rPr>
      </w:pPr>
      <w:r>
        <w:rPr>
          <w:rFonts w:ascii="Arial" w:cs="Arial" w:eastAsia="Arial" w:hAnsi="Arial"/>
          <w:sz w:val="18"/>
          <w:szCs w:val="18"/>
          <w:color w:val="auto"/>
        </w:rPr>
        <w:t>A detailed breakdown of the 2025 grants is included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1778000" cy="1739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78000" cy="173990"/>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820" w:type="dxa"/>
            <w:vAlign w:val="bottom"/>
            <w:tcBorders>
              <w:right w:val="single" w:sz="8" w:color="E7E6E6"/>
            </w:tcBorders>
            <w:shd w:val="clear" w:color="auto" w:fill="002060"/>
          </w:tcPr>
          <w:p>
            <w:pPr>
              <w:spacing w:after="0"/>
              <w:rPr>
                <w:sz w:val="23"/>
                <w:szCs w:val="23"/>
                <w:color w:val="auto"/>
              </w:rPr>
            </w:pPr>
          </w:p>
        </w:tc>
        <w:tc>
          <w:tcPr>
            <w:tcW w:w="1560" w:type="dxa"/>
            <w:vAlign w:val="bottom"/>
            <w:tcBorders>
              <w:right w:val="single" w:sz="8" w:color="002060"/>
            </w:tcBorders>
            <w:shd w:val="clear" w:color="auto" w:fill="002060"/>
          </w:tcPr>
          <w:p>
            <w:pPr>
              <w:spacing w:after="0"/>
              <w:rPr>
                <w:sz w:val="23"/>
                <w:szCs w:val="23"/>
                <w:color w:val="auto"/>
              </w:rPr>
            </w:pPr>
          </w:p>
        </w:tc>
        <w:tc>
          <w:tcPr>
            <w:tcW w:w="1120" w:type="dxa"/>
            <w:vAlign w:val="bottom"/>
            <w:tcBorders>
              <w:right w:val="single" w:sz="8" w:color="002060"/>
            </w:tcBorders>
            <w:shd w:val="clear" w:color="auto" w:fill="002060"/>
          </w:tcPr>
          <w:p>
            <w:pPr>
              <w:spacing w:after="0"/>
              <w:rPr>
                <w:sz w:val="23"/>
                <w:szCs w:val="23"/>
                <w:color w:val="auto"/>
              </w:rPr>
            </w:pPr>
          </w:p>
        </w:tc>
        <w:tc>
          <w:tcPr>
            <w:tcW w:w="3080" w:type="dxa"/>
            <w:vAlign w:val="bottom"/>
            <w:gridSpan w:val="4"/>
            <w:shd w:val="clear" w:color="auto" w:fill="002060"/>
          </w:tcPr>
          <w:p>
            <w:pPr>
              <w:jc w:val="right"/>
              <w:ind w:right="29"/>
              <w:spacing w:after="0"/>
              <w:rPr>
                <w:sz w:val="20"/>
                <w:szCs w:val="20"/>
                <w:color w:val="auto"/>
              </w:rPr>
            </w:pPr>
            <w:r>
              <w:rPr>
                <w:rFonts w:ascii="Arial" w:cs="Arial" w:eastAsia="Arial" w:hAnsi="Arial"/>
                <w:sz w:val="18"/>
                <w:szCs w:val="18"/>
                <w:b w:val="1"/>
                <w:bCs w:val="1"/>
                <w:color w:val="FFFFFF"/>
              </w:rPr>
              <w:t>2025 Long-Term Incentive Grants</w:t>
            </w:r>
          </w:p>
        </w:tc>
        <w:tc>
          <w:tcPr>
            <w:tcW w:w="1080" w:type="dxa"/>
            <w:vAlign w:val="bottom"/>
            <w:tcBorders>
              <w:right w:val="single" w:sz="8" w:color="002060"/>
            </w:tcBorders>
            <w:shd w:val="clear" w:color="auto" w:fill="002060"/>
          </w:tcPr>
          <w:p>
            <w:pPr>
              <w:spacing w:after="0"/>
              <w:rPr>
                <w:sz w:val="23"/>
                <w:szCs w:val="23"/>
                <w:color w:val="auto"/>
              </w:rPr>
            </w:pPr>
          </w:p>
        </w:tc>
        <w:tc>
          <w:tcPr>
            <w:tcW w:w="260" w:type="dxa"/>
            <w:vAlign w:val="bottom"/>
            <w:shd w:val="clear" w:color="auto" w:fill="002060"/>
          </w:tcPr>
          <w:p>
            <w:pPr>
              <w:spacing w:after="0"/>
              <w:rPr>
                <w:sz w:val="23"/>
                <w:szCs w:val="23"/>
                <w:color w:val="auto"/>
              </w:rPr>
            </w:pPr>
          </w:p>
        </w:tc>
        <w:tc>
          <w:tcPr>
            <w:tcW w:w="1320" w:type="dxa"/>
            <w:vAlign w:val="bottom"/>
            <w:shd w:val="clear" w:color="auto" w:fill="002060"/>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820" w:type="dxa"/>
            <w:vAlign w:val="bottom"/>
            <w:tcBorders>
              <w:right w:val="single" w:sz="8" w:color="E7E6E6"/>
            </w:tcBorders>
            <w:vMerge w:val="restart"/>
            <w:shd w:val="clear" w:color="auto" w:fill="002060"/>
          </w:tcPr>
          <w:p>
            <w:pPr>
              <w:ind w:left="980"/>
              <w:spacing w:after="0"/>
              <w:rPr>
                <w:sz w:val="20"/>
                <w:szCs w:val="20"/>
                <w:color w:val="auto"/>
              </w:rPr>
            </w:pPr>
            <w:r>
              <w:rPr>
                <w:rFonts w:ascii="Arial" w:cs="Arial" w:eastAsia="Arial" w:hAnsi="Arial"/>
                <w:sz w:val="18"/>
                <w:szCs w:val="18"/>
                <w:b w:val="1"/>
                <w:bCs w:val="1"/>
                <w:color w:val="FFFFFF"/>
              </w:rPr>
              <w:t>Executive</w:t>
            </w:r>
          </w:p>
        </w:tc>
        <w:tc>
          <w:tcPr>
            <w:tcW w:w="1560" w:type="dxa"/>
            <w:vAlign w:val="bottom"/>
            <w:tcBorders>
              <w:right w:val="single" w:sz="8" w:color="E7E6E6"/>
            </w:tcBorders>
            <w:shd w:val="clear" w:color="auto" w:fill="002060"/>
          </w:tcPr>
          <w:p>
            <w:pPr>
              <w:jc w:val="center"/>
              <w:spacing w:after="0"/>
              <w:rPr>
                <w:sz w:val="20"/>
                <w:szCs w:val="20"/>
                <w:color w:val="auto"/>
              </w:rPr>
            </w:pPr>
            <w:r>
              <w:rPr>
                <w:rFonts w:ascii="Arial" w:cs="Arial" w:eastAsia="Arial" w:hAnsi="Arial"/>
                <w:sz w:val="18"/>
                <w:szCs w:val="18"/>
                <w:b w:val="1"/>
                <w:bCs w:val="1"/>
                <w:color w:val="FFFFFF"/>
              </w:rPr>
              <w:t>Grant</w:t>
            </w:r>
          </w:p>
        </w:tc>
        <w:tc>
          <w:tcPr>
            <w:tcW w:w="2700" w:type="dxa"/>
            <w:vAlign w:val="bottom"/>
            <w:tcBorders>
              <w:right w:val="single" w:sz="8" w:color="E7E6E6"/>
            </w:tcBorders>
            <w:gridSpan w:val="3"/>
            <w:shd w:val="clear" w:color="auto" w:fill="002060"/>
          </w:tcPr>
          <w:p>
            <w:pPr>
              <w:jc w:val="right"/>
              <w:ind w:right="509"/>
              <w:spacing w:after="0"/>
              <w:rPr>
                <w:sz w:val="20"/>
                <w:szCs w:val="20"/>
                <w:color w:val="auto"/>
              </w:rPr>
            </w:pPr>
            <w:r>
              <w:rPr>
                <w:rFonts w:ascii="Arial" w:cs="Arial" w:eastAsia="Arial" w:hAnsi="Arial"/>
                <w:sz w:val="18"/>
                <w:szCs w:val="18"/>
                <w:b w:val="1"/>
                <w:bCs w:val="1"/>
                <w:color w:val="FFFFFF"/>
              </w:rPr>
              <w:t>Restricted Shares</w:t>
            </w:r>
          </w:p>
        </w:tc>
        <w:tc>
          <w:tcPr>
            <w:tcW w:w="2580" w:type="dxa"/>
            <w:vAlign w:val="bottom"/>
            <w:tcBorders>
              <w:right w:val="single" w:sz="8" w:color="E7E6E6"/>
            </w:tcBorders>
            <w:gridSpan w:val="3"/>
            <w:shd w:val="clear" w:color="auto" w:fill="002060"/>
          </w:tcPr>
          <w:p>
            <w:pPr>
              <w:jc w:val="right"/>
              <w:ind w:right="389"/>
              <w:spacing w:after="0"/>
              <w:rPr>
                <w:sz w:val="20"/>
                <w:szCs w:val="20"/>
                <w:color w:val="auto"/>
              </w:rPr>
            </w:pPr>
            <w:r>
              <w:rPr>
                <w:rFonts w:ascii="Arial" w:cs="Arial" w:eastAsia="Arial" w:hAnsi="Arial"/>
                <w:sz w:val="18"/>
                <w:szCs w:val="18"/>
                <w:b w:val="1"/>
                <w:bCs w:val="1"/>
                <w:color w:val="FFFFFF"/>
              </w:rPr>
              <w:t>Performance Shares</w:t>
            </w:r>
          </w:p>
        </w:tc>
        <w:tc>
          <w:tcPr>
            <w:tcW w:w="1580" w:type="dxa"/>
            <w:vAlign w:val="bottom"/>
            <w:gridSpan w:val="2"/>
            <w:shd w:val="clear" w:color="auto" w:fill="002060"/>
          </w:tcPr>
          <w:p>
            <w:pPr>
              <w:jc w:val="right"/>
              <w:ind w:right="109"/>
              <w:spacing w:after="0"/>
              <w:rPr>
                <w:sz w:val="20"/>
                <w:szCs w:val="20"/>
                <w:color w:val="auto"/>
              </w:rPr>
            </w:pPr>
            <w:r>
              <w:rPr>
                <w:rFonts w:ascii="Arial" w:cs="Arial" w:eastAsia="Arial" w:hAnsi="Arial"/>
                <w:sz w:val="18"/>
                <w:szCs w:val="18"/>
                <w:b w:val="1"/>
                <w:bCs w:val="1"/>
                <w:color w:val="FFFFFF"/>
              </w:rPr>
              <w:t>Total 2025 LTI</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820" w:type="dxa"/>
            <w:vAlign w:val="bottom"/>
            <w:tcBorders>
              <w:right w:val="single" w:sz="8" w:color="E7E6E6"/>
            </w:tcBorders>
            <w:vMerge w:val="continue"/>
            <w:shd w:val="clear" w:color="auto" w:fill="002060"/>
          </w:tcPr>
          <w:p>
            <w:pPr>
              <w:spacing w:after="0"/>
              <w:rPr>
                <w:sz w:val="19"/>
                <w:szCs w:val="19"/>
                <w:color w:val="auto"/>
              </w:rPr>
            </w:pPr>
          </w:p>
        </w:tc>
        <w:tc>
          <w:tcPr>
            <w:tcW w:w="1560" w:type="dxa"/>
            <w:vAlign w:val="bottom"/>
            <w:tcBorders>
              <w:right w:val="single" w:sz="8" w:color="E7E6E6"/>
            </w:tcBorders>
            <w:shd w:val="clear" w:color="auto" w:fill="002060"/>
          </w:tcPr>
          <w:p>
            <w:pPr>
              <w:jc w:val="center"/>
              <w:spacing w:after="0"/>
              <w:rPr>
                <w:sz w:val="20"/>
                <w:szCs w:val="20"/>
                <w:color w:val="auto"/>
              </w:rPr>
            </w:pPr>
            <w:r>
              <w:rPr>
                <w:rFonts w:ascii="Arial" w:cs="Arial" w:eastAsia="Arial" w:hAnsi="Arial"/>
                <w:sz w:val="18"/>
                <w:szCs w:val="18"/>
                <w:b w:val="1"/>
                <w:bCs w:val="1"/>
                <w:color w:val="FFFFFF"/>
                <w:w w:val="97"/>
              </w:rPr>
              <w:t>Date</w:t>
            </w:r>
          </w:p>
        </w:tc>
        <w:tc>
          <w:tcPr>
            <w:tcW w:w="1120" w:type="dxa"/>
            <w:vAlign w:val="bottom"/>
            <w:tcBorders>
              <w:right w:val="single" w:sz="8" w:color="002060"/>
            </w:tcBorders>
            <w:shd w:val="clear" w:color="auto" w:fill="002060"/>
          </w:tcPr>
          <w:p>
            <w:pPr>
              <w:jc w:val="right"/>
              <w:ind w:right="89"/>
              <w:spacing w:after="0"/>
              <w:rPr>
                <w:sz w:val="20"/>
                <w:szCs w:val="20"/>
                <w:color w:val="auto"/>
              </w:rPr>
            </w:pPr>
            <w:r>
              <w:rPr>
                <w:rFonts w:ascii="Arial" w:cs="Arial" w:eastAsia="Arial" w:hAnsi="Arial"/>
                <w:sz w:val="18"/>
                <w:szCs w:val="18"/>
                <w:b w:val="1"/>
                <w:bCs w:val="1"/>
                <w:color w:val="FFFFFF"/>
              </w:rPr>
              <w:t># Shares</w:t>
            </w:r>
          </w:p>
        </w:tc>
        <w:tc>
          <w:tcPr>
            <w:tcW w:w="1580" w:type="dxa"/>
            <w:vAlign w:val="bottom"/>
            <w:tcBorders>
              <w:right w:val="single" w:sz="8" w:color="E7E6E6"/>
            </w:tcBorders>
            <w:gridSpan w:val="2"/>
            <w:shd w:val="clear" w:color="auto" w:fill="002060"/>
          </w:tcPr>
          <w:p>
            <w:pPr>
              <w:jc w:val="right"/>
              <w:ind w:right="209"/>
              <w:spacing w:after="0"/>
              <w:rPr>
                <w:sz w:val="20"/>
                <w:szCs w:val="20"/>
                <w:color w:val="auto"/>
              </w:rPr>
            </w:pPr>
            <w:r>
              <w:rPr>
                <w:rFonts w:ascii="Arial" w:cs="Arial" w:eastAsia="Arial" w:hAnsi="Arial"/>
                <w:sz w:val="18"/>
                <w:szCs w:val="18"/>
                <w:b w:val="1"/>
                <w:bCs w:val="1"/>
                <w:color w:val="FFFFFF"/>
              </w:rPr>
              <w:t>Grant Value</w:t>
            </w:r>
          </w:p>
        </w:tc>
        <w:tc>
          <w:tcPr>
            <w:tcW w:w="1120" w:type="dxa"/>
            <w:vAlign w:val="bottom"/>
            <w:tcBorders>
              <w:right w:val="single" w:sz="8" w:color="002060"/>
            </w:tcBorders>
            <w:shd w:val="clear" w:color="auto" w:fill="002060"/>
          </w:tcPr>
          <w:p>
            <w:pPr>
              <w:jc w:val="right"/>
              <w:ind w:right="109"/>
              <w:spacing w:after="0"/>
              <w:rPr>
                <w:sz w:val="20"/>
                <w:szCs w:val="20"/>
                <w:color w:val="auto"/>
              </w:rPr>
            </w:pPr>
            <w:r>
              <w:rPr>
                <w:rFonts w:ascii="Arial" w:cs="Arial" w:eastAsia="Arial" w:hAnsi="Arial"/>
                <w:sz w:val="18"/>
                <w:szCs w:val="18"/>
                <w:b w:val="1"/>
                <w:bCs w:val="1"/>
                <w:color w:val="FFFFFF"/>
              </w:rPr>
              <w:t># Shares</w:t>
            </w:r>
          </w:p>
        </w:tc>
        <w:tc>
          <w:tcPr>
            <w:tcW w:w="1460" w:type="dxa"/>
            <w:vAlign w:val="bottom"/>
            <w:tcBorders>
              <w:right w:val="single" w:sz="8" w:color="E7E6E6"/>
            </w:tcBorders>
            <w:gridSpan w:val="2"/>
            <w:shd w:val="clear" w:color="auto" w:fill="002060"/>
          </w:tcPr>
          <w:p>
            <w:pPr>
              <w:jc w:val="right"/>
              <w:ind w:right="169"/>
              <w:spacing w:after="0"/>
              <w:rPr>
                <w:sz w:val="20"/>
                <w:szCs w:val="20"/>
                <w:color w:val="auto"/>
              </w:rPr>
            </w:pPr>
            <w:r>
              <w:rPr>
                <w:rFonts w:ascii="Arial" w:cs="Arial" w:eastAsia="Arial" w:hAnsi="Arial"/>
                <w:sz w:val="18"/>
                <w:szCs w:val="18"/>
                <w:b w:val="1"/>
                <w:bCs w:val="1"/>
                <w:color w:val="FFFFFF"/>
              </w:rPr>
              <w:t>Grant Value</w:t>
            </w:r>
          </w:p>
        </w:tc>
        <w:tc>
          <w:tcPr>
            <w:tcW w:w="260" w:type="dxa"/>
            <w:vAlign w:val="bottom"/>
            <w:shd w:val="clear" w:color="auto" w:fill="002060"/>
          </w:tcPr>
          <w:p>
            <w:pPr>
              <w:spacing w:after="0"/>
              <w:rPr>
                <w:sz w:val="19"/>
                <w:szCs w:val="19"/>
                <w:color w:val="auto"/>
              </w:rPr>
            </w:pPr>
          </w:p>
        </w:tc>
        <w:tc>
          <w:tcPr>
            <w:tcW w:w="1320" w:type="dxa"/>
            <w:vAlign w:val="bottom"/>
            <w:shd w:val="clear" w:color="auto" w:fill="002060"/>
          </w:tcPr>
          <w:p>
            <w:pPr>
              <w:jc w:val="right"/>
              <w:ind w:right="189"/>
              <w:spacing w:after="0"/>
              <w:rPr>
                <w:sz w:val="20"/>
                <w:szCs w:val="20"/>
                <w:color w:val="auto"/>
              </w:rPr>
            </w:pPr>
            <w:r>
              <w:rPr>
                <w:rFonts w:ascii="Arial" w:cs="Arial" w:eastAsia="Arial" w:hAnsi="Arial"/>
                <w:sz w:val="18"/>
                <w:szCs w:val="18"/>
                <w:b w:val="1"/>
                <w:bCs w:val="1"/>
                <w:color w:val="FFFFFF"/>
              </w:rPr>
              <w:t>Grant Value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820" w:type="dxa"/>
            <w:vAlign w:val="bottom"/>
            <w:tcBorders>
              <w:right w:val="single" w:sz="8" w:color="E7E6E6"/>
            </w:tcBorders>
          </w:tcPr>
          <w:p>
            <w:pPr>
              <w:ind w:left="80"/>
              <w:spacing w:after="0" w:line="199" w:lineRule="exact"/>
              <w:rPr>
                <w:sz w:val="20"/>
                <w:szCs w:val="20"/>
                <w:color w:val="auto"/>
              </w:rPr>
            </w:pPr>
            <w:r>
              <w:rPr>
                <w:rFonts w:ascii="Arial" w:cs="Arial" w:eastAsia="Arial" w:hAnsi="Arial"/>
                <w:sz w:val="18"/>
                <w:szCs w:val="18"/>
                <w:b w:val="1"/>
                <w:bCs w:val="1"/>
                <w:color w:val="auto"/>
              </w:rPr>
              <w:t>G. Manning Rountree</w:t>
            </w:r>
          </w:p>
        </w:tc>
        <w:tc>
          <w:tcPr>
            <w:tcW w:w="1560" w:type="dxa"/>
            <w:vAlign w:val="bottom"/>
            <w:tcBorders>
              <w:right w:val="single" w:sz="8" w:color="E7E6E6"/>
            </w:tcBorders>
          </w:tcPr>
          <w:p>
            <w:pPr>
              <w:jc w:val="center"/>
              <w:spacing w:after="0" w:line="199" w:lineRule="exact"/>
              <w:rPr>
                <w:sz w:val="20"/>
                <w:szCs w:val="20"/>
                <w:color w:val="auto"/>
              </w:rPr>
            </w:pPr>
            <w:r>
              <w:rPr>
                <w:rFonts w:ascii="Arial" w:cs="Arial" w:eastAsia="Arial" w:hAnsi="Arial"/>
                <w:sz w:val="18"/>
                <w:szCs w:val="18"/>
                <w:color w:val="auto"/>
              </w:rPr>
              <w:t>2/26/2025</w:t>
            </w:r>
          </w:p>
        </w:tc>
        <w:tc>
          <w:tcPr>
            <w:tcW w:w="1120" w:type="dxa"/>
            <w:vAlign w:val="bottom"/>
            <w:tcBorders>
              <w:right w:val="single" w:sz="8" w:color="E7E6E6"/>
            </w:tcBorders>
          </w:tcPr>
          <w:p>
            <w:pPr>
              <w:jc w:val="right"/>
              <w:ind w:right="9"/>
              <w:spacing w:after="0" w:line="199" w:lineRule="exact"/>
              <w:rPr>
                <w:sz w:val="20"/>
                <w:szCs w:val="20"/>
                <w:color w:val="auto"/>
              </w:rPr>
            </w:pPr>
            <w:r>
              <w:rPr>
                <w:rFonts w:ascii="Arial" w:cs="Arial" w:eastAsia="Arial" w:hAnsi="Arial"/>
                <w:sz w:val="18"/>
                <w:szCs w:val="18"/>
                <w:color w:val="auto"/>
              </w:rPr>
              <w:t>1,625</w:t>
            </w:r>
          </w:p>
        </w:tc>
        <w:tc>
          <w:tcPr>
            <w:tcW w:w="460" w:type="dxa"/>
            <w:vAlign w:val="bottom"/>
          </w:tcPr>
          <w:p>
            <w:pPr>
              <w:jc w:val="right"/>
              <w:ind w:right="49"/>
              <w:spacing w:after="0" w:line="199"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E7E6E6"/>
            </w:tcBorders>
          </w:tcPr>
          <w:p>
            <w:pPr>
              <w:jc w:val="right"/>
              <w:ind w:right="109"/>
              <w:spacing w:after="0" w:line="199" w:lineRule="exact"/>
              <w:rPr>
                <w:sz w:val="20"/>
                <w:szCs w:val="20"/>
                <w:color w:val="auto"/>
              </w:rPr>
            </w:pPr>
            <w:r>
              <w:rPr>
                <w:rFonts w:ascii="Arial" w:cs="Arial" w:eastAsia="Arial" w:hAnsi="Arial"/>
                <w:sz w:val="18"/>
                <w:szCs w:val="18"/>
                <w:color w:val="auto"/>
              </w:rPr>
              <w:t>2,977,309</w:t>
            </w:r>
          </w:p>
        </w:tc>
        <w:tc>
          <w:tcPr>
            <w:tcW w:w="1120" w:type="dxa"/>
            <w:vAlign w:val="bottom"/>
            <w:tcBorders>
              <w:right w:val="single" w:sz="8" w:color="E7E6E6"/>
            </w:tcBorders>
          </w:tcPr>
          <w:p>
            <w:pPr>
              <w:jc w:val="right"/>
              <w:ind w:right="29"/>
              <w:spacing w:after="0" w:line="199" w:lineRule="exact"/>
              <w:rPr>
                <w:sz w:val="20"/>
                <w:szCs w:val="20"/>
                <w:color w:val="auto"/>
              </w:rPr>
            </w:pPr>
            <w:r>
              <w:rPr>
                <w:rFonts w:ascii="Arial" w:cs="Arial" w:eastAsia="Arial" w:hAnsi="Arial"/>
                <w:sz w:val="18"/>
                <w:szCs w:val="18"/>
                <w:color w:val="auto"/>
              </w:rPr>
              <w:t>1,625</w:t>
            </w:r>
          </w:p>
        </w:tc>
        <w:tc>
          <w:tcPr>
            <w:tcW w:w="380" w:type="dxa"/>
            <w:vAlign w:val="bottom"/>
          </w:tcPr>
          <w:p>
            <w:pPr>
              <w:jc w:val="right"/>
              <w:ind w:right="29"/>
              <w:spacing w:after="0" w:line="199" w:lineRule="exact"/>
              <w:rPr>
                <w:sz w:val="20"/>
                <w:szCs w:val="20"/>
                <w:color w:val="auto"/>
              </w:rPr>
            </w:pPr>
            <w:r>
              <w:rPr>
                <w:rFonts w:ascii="Arial" w:cs="Arial" w:eastAsia="Arial" w:hAnsi="Arial"/>
                <w:sz w:val="18"/>
                <w:szCs w:val="18"/>
                <w:color w:val="auto"/>
              </w:rPr>
              <w:t>$</w:t>
            </w:r>
          </w:p>
        </w:tc>
        <w:tc>
          <w:tcPr>
            <w:tcW w:w="1080" w:type="dxa"/>
            <w:vAlign w:val="bottom"/>
            <w:tcBorders>
              <w:right w:val="single" w:sz="8" w:color="E7E6E6"/>
            </w:tcBorders>
          </w:tcPr>
          <w:p>
            <w:pPr>
              <w:jc w:val="right"/>
              <w:ind w:right="49"/>
              <w:spacing w:after="0" w:line="199" w:lineRule="exact"/>
              <w:rPr>
                <w:sz w:val="20"/>
                <w:szCs w:val="20"/>
                <w:color w:val="auto"/>
              </w:rPr>
            </w:pPr>
            <w:r>
              <w:rPr>
                <w:rFonts w:ascii="Arial" w:cs="Arial" w:eastAsia="Arial" w:hAnsi="Arial"/>
                <w:sz w:val="18"/>
                <w:szCs w:val="18"/>
                <w:color w:val="auto"/>
              </w:rPr>
              <w:t>2,977,309</w:t>
            </w:r>
          </w:p>
        </w:tc>
        <w:tc>
          <w:tcPr>
            <w:tcW w:w="26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99" w:lineRule="exact"/>
              <w:rPr>
                <w:sz w:val="20"/>
                <w:szCs w:val="20"/>
                <w:color w:val="auto"/>
              </w:rPr>
            </w:pPr>
            <w:r>
              <w:rPr>
                <w:rFonts w:ascii="Arial" w:cs="Arial" w:eastAsia="Arial" w:hAnsi="Arial"/>
                <w:sz w:val="18"/>
                <w:szCs w:val="18"/>
                <w:color w:val="auto"/>
              </w:rPr>
              <w:t>5,954,618</w:t>
            </w:r>
          </w:p>
        </w:tc>
        <w:tc>
          <w:tcPr>
            <w:tcW w:w="20" w:type="dxa"/>
            <w:vAlign w:val="bottom"/>
            <w:shd w:val="clear" w:color="auto" w:fill="E7E6E6"/>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820" w:type="dxa"/>
            <w:vAlign w:val="bottom"/>
            <w:tcBorders>
              <w:right w:val="single" w:sz="8" w:color="E7E6E6"/>
            </w:tcBorders>
            <w:shd w:val="clear" w:color="auto" w:fill="C3D5EE"/>
          </w:tcPr>
          <w:p>
            <w:pPr>
              <w:ind w:left="80"/>
              <w:spacing w:after="0" w:line="199" w:lineRule="exact"/>
              <w:rPr>
                <w:sz w:val="20"/>
                <w:szCs w:val="20"/>
                <w:color w:val="auto"/>
              </w:rPr>
            </w:pPr>
            <w:r>
              <w:rPr>
                <w:rFonts w:ascii="Arial" w:cs="Arial" w:eastAsia="Arial" w:hAnsi="Arial"/>
                <w:sz w:val="18"/>
                <w:szCs w:val="18"/>
                <w:b w:val="1"/>
                <w:bCs w:val="1"/>
                <w:color w:val="auto"/>
              </w:rPr>
              <w:t>Liam P. Caffrey</w:t>
            </w:r>
          </w:p>
        </w:tc>
        <w:tc>
          <w:tcPr>
            <w:tcW w:w="1560" w:type="dxa"/>
            <w:vAlign w:val="bottom"/>
            <w:tcBorders>
              <w:right w:val="single" w:sz="8" w:color="E7E6E6"/>
            </w:tcBorders>
            <w:shd w:val="clear" w:color="auto" w:fill="C3D5EE"/>
          </w:tcPr>
          <w:p>
            <w:pPr>
              <w:jc w:val="center"/>
              <w:spacing w:after="0" w:line="199" w:lineRule="exact"/>
              <w:rPr>
                <w:sz w:val="20"/>
                <w:szCs w:val="20"/>
                <w:color w:val="auto"/>
              </w:rPr>
            </w:pPr>
            <w:r>
              <w:rPr>
                <w:rFonts w:ascii="Arial" w:cs="Arial" w:eastAsia="Arial" w:hAnsi="Arial"/>
                <w:sz w:val="18"/>
                <w:szCs w:val="18"/>
                <w:color w:val="auto"/>
              </w:rPr>
              <w:t>2/26/2025</w:t>
            </w:r>
          </w:p>
        </w:tc>
        <w:tc>
          <w:tcPr>
            <w:tcW w:w="1120" w:type="dxa"/>
            <w:vAlign w:val="bottom"/>
            <w:tcBorders>
              <w:right w:val="single" w:sz="8" w:color="E7E6E6"/>
            </w:tcBorders>
            <w:shd w:val="clear" w:color="auto" w:fill="C3D5EE"/>
          </w:tcPr>
          <w:p>
            <w:pPr>
              <w:jc w:val="right"/>
              <w:ind w:right="9"/>
              <w:spacing w:after="0" w:line="199" w:lineRule="exact"/>
              <w:rPr>
                <w:sz w:val="20"/>
                <w:szCs w:val="20"/>
                <w:color w:val="auto"/>
              </w:rPr>
            </w:pPr>
            <w:r>
              <w:rPr>
                <w:rFonts w:ascii="Arial" w:cs="Arial" w:eastAsia="Arial" w:hAnsi="Arial"/>
                <w:sz w:val="18"/>
                <w:szCs w:val="18"/>
                <w:color w:val="auto"/>
              </w:rPr>
              <w:t>1,025</w:t>
            </w:r>
          </w:p>
        </w:tc>
        <w:tc>
          <w:tcPr>
            <w:tcW w:w="460" w:type="dxa"/>
            <w:vAlign w:val="bottom"/>
            <w:shd w:val="clear" w:color="auto" w:fill="C3D5EE"/>
          </w:tcPr>
          <w:p>
            <w:pPr>
              <w:jc w:val="right"/>
              <w:ind w:right="49"/>
              <w:spacing w:after="0" w:line="199"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C3D5EE"/>
            </w:tcBorders>
            <w:shd w:val="clear" w:color="auto" w:fill="C3D5EE"/>
          </w:tcPr>
          <w:p>
            <w:pPr>
              <w:jc w:val="right"/>
              <w:ind w:right="109"/>
              <w:spacing w:after="0" w:line="199" w:lineRule="exact"/>
              <w:rPr>
                <w:sz w:val="20"/>
                <w:szCs w:val="20"/>
                <w:color w:val="auto"/>
              </w:rPr>
            </w:pPr>
            <w:r>
              <w:rPr>
                <w:rFonts w:ascii="Arial" w:cs="Arial" w:eastAsia="Arial" w:hAnsi="Arial"/>
                <w:sz w:val="18"/>
                <w:szCs w:val="18"/>
                <w:color w:val="auto"/>
              </w:rPr>
              <w:t>1,877,995</w:t>
            </w:r>
          </w:p>
        </w:tc>
        <w:tc>
          <w:tcPr>
            <w:tcW w:w="1120" w:type="dxa"/>
            <w:vAlign w:val="bottom"/>
            <w:tcBorders>
              <w:right w:val="single" w:sz="8" w:color="E7E6E6"/>
            </w:tcBorders>
            <w:shd w:val="clear" w:color="auto" w:fill="C3D5EE"/>
          </w:tcPr>
          <w:p>
            <w:pPr>
              <w:jc w:val="right"/>
              <w:ind w:right="29"/>
              <w:spacing w:after="0" w:line="199" w:lineRule="exact"/>
              <w:rPr>
                <w:sz w:val="20"/>
                <w:szCs w:val="20"/>
                <w:color w:val="auto"/>
              </w:rPr>
            </w:pPr>
            <w:r>
              <w:rPr>
                <w:rFonts w:ascii="Arial" w:cs="Arial" w:eastAsia="Arial" w:hAnsi="Arial"/>
                <w:sz w:val="18"/>
                <w:szCs w:val="18"/>
                <w:color w:val="auto"/>
              </w:rPr>
              <w:t>1,025</w:t>
            </w:r>
          </w:p>
        </w:tc>
        <w:tc>
          <w:tcPr>
            <w:tcW w:w="380" w:type="dxa"/>
            <w:vAlign w:val="bottom"/>
            <w:shd w:val="clear" w:color="auto" w:fill="C3D5EE"/>
          </w:tcPr>
          <w:p>
            <w:pPr>
              <w:jc w:val="right"/>
              <w:ind w:right="29"/>
              <w:spacing w:after="0" w:line="199" w:lineRule="exact"/>
              <w:rPr>
                <w:sz w:val="20"/>
                <w:szCs w:val="20"/>
                <w:color w:val="auto"/>
              </w:rPr>
            </w:pPr>
            <w:r>
              <w:rPr>
                <w:rFonts w:ascii="Arial" w:cs="Arial" w:eastAsia="Arial" w:hAnsi="Arial"/>
                <w:sz w:val="18"/>
                <w:szCs w:val="18"/>
                <w:color w:val="auto"/>
              </w:rPr>
              <w:t>$</w:t>
            </w:r>
          </w:p>
        </w:tc>
        <w:tc>
          <w:tcPr>
            <w:tcW w:w="1080" w:type="dxa"/>
            <w:vAlign w:val="bottom"/>
            <w:tcBorders>
              <w:right w:val="single" w:sz="8" w:color="E7E6E6"/>
            </w:tcBorders>
            <w:shd w:val="clear" w:color="auto" w:fill="C3D5EE"/>
          </w:tcPr>
          <w:p>
            <w:pPr>
              <w:jc w:val="right"/>
              <w:ind w:right="49"/>
              <w:spacing w:after="0" w:line="199" w:lineRule="exact"/>
              <w:rPr>
                <w:sz w:val="20"/>
                <w:szCs w:val="20"/>
                <w:color w:val="auto"/>
              </w:rPr>
            </w:pPr>
            <w:r>
              <w:rPr>
                <w:rFonts w:ascii="Arial" w:cs="Arial" w:eastAsia="Arial" w:hAnsi="Arial"/>
                <w:sz w:val="18"/>
                <w:szCs w:val="18"/>
                <w:color w:val="auto"/>
              </w:rPr>
              <w:t>1,877,995</w:t>
            </w:r>
          </w:p>
        </w:tc>
        <w:tc>
          <w:tcPr>
            <w:tcW w:w="260" w:type="dxa"/>
            <w:vAlign w:val="bottom"/>
            <w:shd w:val="clear" w:color="auto" w:fill="C3D5EE"/>
          </w:tcPr>
          <w:p>
            <w:pPr>
              <w:jc w:val="right"/>
              <w:spacing w:after="0" w:line="199" w:lineRule="exact"/>
              <w:rPr>
                <w:sz w:val="20"/>
                <w:szCs w:val="20"/>
                <w:color w:val="auto"/>
              </w:rPr>
            </w:pPr>
            <w:r>
              <w:rPr>
                <w:rFonts w:ascii="Arial" w:cs="Arial" w:eastAsia="Arial" w:hAnsi="Arial"/>
                <w:sz w:val="18"/>
                <w:szCs w:val="18"/>
                <w:color w:val="auto"/>
              </w:rPr>
              <w:t>$</w:t>
            </w:r>
          </w:p>
        </w:tc>
        <w:tc>
          <w:tcPr>
            <w:tcW w:w="1320" w:type="dxa"/>
            <w:vAlign w:val="bottom"/>
            <w:shd w:val="clear" w:color="auto" w:fill="C3D5EE"/>
          </w:tcPr>
          <w:p>
            <w:pPr>
              <w:jc w:val="right"/>
              <w:spacing w:after="0" w:line="199" w:lineRule="exact"/>
              <w:rPr>
                <w:sz w:val="20"/>
                <w:szCs w:val="20"/>
                <w:color w:val="auto"/>
              </w:rPr>
            </w:pPr>
            <w:r>
              <w:rPr>
                <w:rFonts w:ascii="Arial" w:cs="Arial" w:eastAsia="Arial" w:hAnsi="Arial"/>
                <w:sz w:val="18"/>
                <w:szCs w:val="18"/>
                <w:color w:val="auto"/>
              </w:rPr>
              <w:t>3,755,990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820" w:type="dxa"/>
            <w:vAlign w:val="bottom"/>
            <w:tcBorders>
              <w:right w:val="single" w:sz="8" w:color="E7E6E6"/>
            </w:tcBorders>
          </w:tcPr>
          <w:p>
            <w:pPr>
              <w:ind w:left="80"/>
              <w:spacing w:after="0" w:line="199" w:lineRule="exact"/>
              <w:rPr>
                <w:sz w:val="20"/>
                <w:szCs w:val="20"/>
                <w:color w:val="auto"/>
              </w:rPr>
            </w:pPr>
            <w:r>
              <w:rPr>
                <w:rFonts w:ascii="Arial" w:cs="Arial" w:eastAsia="Arial" w:hAnsi="Arial"/>
                <w:sz w:val="18"/>
                <w:szCs w:val="18"/>
                <w:b w:val="1"/>
                <w:bCs w:val="1"/>
                <w:color w:val="auto"/>
              </w:rPr>
              <w:t>Giles E. Harrison</w:t>
            </w:r>
          </w:p>
        </w:tc>
        <w:tc>
          <w:tcPr>
            <w:tcW w:w="1560" w:type="dxa"/>
            <w:vAlign w:val="bottom"/>
            <w:tcBorders>
              <w:right w:val="single" w:sz="8" w:color="E7E6E6"/>
            </w:tcBorders>
          </w:tcPr>
          <w:p>
            <w:pPr>
              <w:jc w:val="center"/>
              <w:spacing w:after="0" w:line="199" w:lineRule="exact"/>
              <w:rPr>
                <w:sz w:val="20"/>
                <w:szCs w:val="20"/>
                <w:color w:val="auto"/>
              </w:rPr>
            </w:pPr>
            <w:r>
              <w:rPr>
                <w:rFonts w:ascii="Arial" w:cs="Arial" w:eastAsia="Arial" w:hAnsi="Arial"/>
                <w:sz w:val="18"/>
                <w:szCs w:val="18"/>
                <w:color w:val="auto"/>
              </w:rPr>
              <w:t>2/26/2025</w:t>
            </w:r>
          </w:p>
        </w:tc>
        <w:tc>
          <w:tcPr>
            <w:tcW w:w="1120" w:type="dxa"/>
            <w:vAlign w:val="bottom"/>
            <w:tcBorders>
              <w:right w:val="single" w:sz="8" w:color="E7E6E6"/>
            </w:tcBorders>
          </w:tcPr>
          <w:p>
            <w:pPr>
              <w:jc w:val="right"/>
              <w:ind w:right="9"/>
              <w:spacing w:after="0" w:line="199" w:lineRule="exact"/>
              <w:rPr>
                <w:sz w:val="20"/>
                <w:szCs w:val="20"/>
                <w:color w:val="auto"/>
              </w:rPr>
            </w:pPr>
            <w:r>
              <w:rPr>
                <w:rFonts w:ascii="Arial" w:cs="Arial" w:eastAsia="Arial" w:hAnsi="Arial"/>
                <w:sz w:val="18"/>
                <w:szCs w:val="18"/>
                <w:color w:val="auto"/>
              </w:rPr>
              <w:t>900</w:t>
            </w:r>
          </w:p>
        </w:tc>
        <w:tc>
          <w:tcPr>
            <w:tcW w:w="460" w:type="dxa"/>
            <w:vAlign w:val="bottom"/>
          </w:tcPr>
          <w:p>
            <w:pPr>
              <w:jc w:val="right"/>
              <w:ind w:right="49"/>
              <w:spacing w:after="0" w:line="199"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09"/>
              <w:spacing w:after="0" w:line="199" w:lineRule="exact"/>
              <w:rPr>
                <w:sz w:val="20"/>
                <w:szCs w:val="20"/>
                <w:color w:val="auto"/>
              </w:rPr>
            </w:pPr>
            <w:r>
              <w:rPr>
                <w:rFonts w:ascii="Arial" w:cs="Arial" w:eastAsia="Arial" w:hAnsi="Arial"/>
                <w:sz w:val="18"/>
                <w:szCs w:val="18"/>
                <w:color w:val="auto"/>
              </w:rPr>
              <w:t>1,648,971</w:t>
            </w:r>
          </w:p>
        </w:tc>
        <w:tc>
          <w:tcPr>
            <w:tcW w:w="1120" w:type="dxa"/>
            <w:vAlign w:val="bottom"/>
            <w:tcBorders>
              <w:right w:val="single" w:sz="8" w:color="E7E6E6"/>
            </w:tcBorders>
          </w:tcPr>
          <w:p>
            <w:pPr>
              <w:jc w:val="right"/>
              <w:ind w:right="29"/>
              <w:spacing w:after="0" w:line="199" w:lineRule="exact"/>
              <w:rPr>
                <w:sz w:val="20"/>
                <w:szCs w:val="20"/>
                <w:color w:val="auto"/>
              </w:rPr>
            </w:pPr>
            <w:r>
              <w:rPr>
                <w:rFonts w:ascii="Arial" w:cs="Arial" w:eastAsia="Arial" w:hAnsi="Arial"/>
                <w:sz w:val="18"/>
                <w:szCs w:val="18"/>
                <w:color w:val="auto"/>
              </w:rPr>
              <w:t>900</w:t>
            </w:r>
          </w:p>
        </w:tc>
        <w:tc>
          <w:tcPr>
            <w:tcW w:w="380" w:type="dxa"/>
            <w:vAlign w:val="bottom"/>
          </w:tcPr>
          <w:p>
            <w:pPr>
              <w:jc w:val="right"/>
              <w:ind w:right="29"/>
              <w:spacing w:after="0" w:line="199" w:lineRule="exact"/>
              <w:rPr>
                <w:sz w:val="20"/>
                <w:szCs w:val="20"/>
                <w:color w:val="auto"/>
              </w:rPr>
            </w:pPr>
            <w:r>
              <w:rPr>
                <w:rFonts w:ascii="Arial" w:cs="Arial" w:eastAsia="Arial" w:hAnsi="Arial"/>
                <w:sz w:val="18"/>
                <w:szCs w:val="18"/>
                <w:color w:val="auto"/>
              </w:rPr>
              <w:t>$</w:t>
            </w:r>
          </w:p>
        </w:tc>
        <w:tc>
          <w:tcPr>
            <w:tcW w:w="1080" w:type="dxa"/>
            <w:vAlign w:val="bottom"/>
            <w:tcBorders>
              <w:right w:val="single" w:sz="8" w:color="E7E6E6"/>
            </w:tcBorders>
          </w:tcPr>
          <w:p>
            <w:pPr>
              <w:jc w:val="right"/>
              <w:ind w:right="49"/>
              <w:spacing w:after="0" w:line="199" w:lineRule="exact"/>
              <w:rPr>
                <w:sz w:val="20"/>
                <w:szCs w:val="20"/>
                <w:color w:val="auto"/>
              </w:rPr>
            </w:pPr>
            <w:r>
              <w:rPr>
                <w:rFonts w:ascii="Arial" w:cs="Arial" w:eastAsia="Arial" w:hAnsi="Arial"/>
                <w:sz w:val="18"/>
                <w:szCs w:val="18"/>
                <w:color w:val="auto"/>
              </w:rPr>
              <w:t>1,648,971</w:t>
            </w:r>
          </w:p>
        </w:tc>
        <w:tc>
          <w:tcPr>
            <w:tcW w:w="26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99" w:lineRule="exact"/>
              <w:rPr>
                <w:sz w:val="20"/>
                <w:szCs w:val="20"/>
                <w:color w:val="auto"/>
              </w:rPr>
            </w:pPr>
            <w:r>
              <w:rPr>
                <w:rFonts w:ascii="Arial" w:cs="Arial" w:eastAsia="Arial" w:hAnsi="Arial"/>
                <w:sz w:val="18"/>
                <w:szCs w:val="18"/>
                <w:color w:val="auto"/>
              </w:rPr>
              <w:t>3,297,942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820" w:type="dxa"/>
            <w:vAlign w:val="bottom"/>
            <w:tcBorders>
              <w:right w:val="single" w:sz="8" w:color="E7E6E6"/>
            </w:tcBorders>
            <w:shd w:val="clear" w:color="auto" w:fill="C3D5EE"/>
          </w:tcPr>
          <w:p>
            <w:pPr>
              <w:ind w:left="80"/>
              <w:spacing w:after="0" w:line="199" w:lineRule="exact"/>
              <w:rPr>
                <w:sz w:val="20"/>
                <w:szCs w:val="20"/>
                <w:color w:val="auto"/>
              </w:rPr>
            </w:pPr>
            <w:r>
              <w:rPr>
                <w:rFonts w:ascii="Arial" w:cs="Arial" w:eastAsia="Arial" w:hAnsi="Arial"/>
                <w:sz w:val="18"/>
                <w:szCs w:val="18"/>
                <w:b w:val="1"/>
                <w:bCs w:val="1"/>
                <w:color w:val="auto"/>
              </w:rPr>
              <w:t>Robert L. Seelig</w:t>
            </w:r>
          </w:p>
        </w:tc>
        <w:tc>
          <w:tcPr>
            <w:tcW w:w="1560" w:type="dxa"/>
            <w:vAlign w:val="bottom"/>
            <w:tcBorders>
              <w:right w:val="single" w:sz="8" w:color="E7E6E6"/>
            </w:tcBorders>
            <w:shd w:val="clear" w:color="auto" w:fill="C3D5EE"/>
          </w:tcPr>
          <w:p>
            <w:pPr>
              <w:jc w:val="center"/>
              <w:spacing w:after="0" w:line="199" w:lineRule="exact"/>
              <w:rPr>
                <w:sz w:val="20"/>
                <w:szCs w:val="20"/>
                <w:color w:val="auto"/>
              </w:rPr>
            </w:pPr>
            <w:r>
              <w:rPr>
                <w:rFonts w:ascii="Arial" w:cs="Arial" w:eastAsia="Arial" w:hAnsi="Arial"/>
                <w:sz w:val="18"/>
                <w:szCs w:val="18"/>
                <w:color w:val="auto"/>
              </w:rPr>
              <w:t>2/26/2025</w:t>
            </w:r>
          </w:p>
        </w:tc>
        <w:tc>
          <w:tcPr>
            <w:tcW w:w="1120" w:type="dxa"/>
            <w:vAlign w:val="bottom"/>
            <w:tcBorders>
              <w:right w:val="single" w:sz="8" w:color="E7E6E6"/>
            </w:tcBorders>
            <w:shd w:val="clear" w:color="auto" w:fill="C3D5EE"/>
          </w:tcPr>
          <w:p>
            <w:pPr>
              <w:jc w:val="right"/>
              <w:ind w:right="9"/>
              <w:spacing w:after="0" w:line="199" w:lineRule="exact"/>
              <w:rPr>
                <w:sz w:val="20"/>
                <w:szCs w:val="20"/>
                <w:color w:val="auto"/>
              </w:rPr>
            </w:pPr>
            <w:r>
              <w:rPr>
                <w:rFonts w:ascii="Arial" w:cs="Arial" w:eastAsia="Arial" w:hAnsi="Arial"/>
                <w:sz w:val="18"/>
                <w:szCs w:val="18"/>
                <w:color w:val="auto"/>
              </w:rPr>
              <w:t>825</w:t>
            </w:r>
          </w:p>
        </w:tc>
        <w:tc>
          <w:tcPr>
            <w:tcW w:w="460" w:type="dxa"/>
            <w:vAlign w:val="bottom"/>
            <w:shd w:val="clear" w:color="auto" w:fill="C3D5EE"/>
          </w:tcPr>
          <w:p>
            <w:pPr>
              <w:jc w:val="right"/>
              <w:ind w:right="49"/>
              <w:spacing w:after="0" w:line="199"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C3D5EE"/>
            </w:tcBorders>
            <w:shd w:val="clear" w:color="auto" w:fill="C3D5EE"/>
          </w:tcPr>
          <w:p>
            <w:pPr>
              <w:jc w:val="right"/>
              <w:ind w:right="109"/>
              <w:spacing w:after="0" w:line="199" w:lineRule="exact"/>
              <w:rPr>
                <w:sz w:val="20"/>
                <w:szCs w:val="20"/>
                <w:color w:val="auto"/>
              </w:rPr>
            </w:pPr>
            <w:r>
              <w:rPr>
                <w:rFonts w:ascii="Arial" w:cs="Arial" w:eastAsia="Arial" w:hAnsi="Arial"/>
                <w:sz w:val="18"/>
                <w:szCs w:val="18"/>
                <w:color w:val="auto"/>
              </w:rPr>
              <w:t>1,511,557</w:t>
            </w:r>
          </w:p>
        </w:tc>
        <w:tc>
          <w:tcPr>
            <w:tcW w:w="1120" w:type="dxa"/>
            <w:vAlign w:val="bottom"/>
            <w:tcBorders>
              <w:right w:val="single" w:sz="8" w:color="E7E6E6"/>
            </w:tcBorders>
            <w:shd w:val="clear" w:color="auto" w:fill="C3D5EE"/>
          </w:tcPr>
          <w:p>
            <w:pPr>
              <w:jc w:val="right"/>
              <w:ind w:right="29"/>
              <w:spacing w:after="0" w:line="199" w:lineRule="exact"/>
              <w:rPr>
                <w:sz w:val="20"/>
                <w:szCs w:val="20"/>
                <w:color w:val="auto"/>
              </w:rPr>
            </w:pPr>
            <w:r>
              <w:rPr>
                <w:rFonts w:ascii="Arial" w:cs="Arial" w:eastAsia="Arial" w:hAnsi="Arial"/>
                <w:sz w:val="18"/>
                <w:szCs w:val="18"/>
                <w:color w:val="auto"/>
              </w:rPr>
              <w:t>825</w:t>
            </w:r>
          </w:p>
        </w:tc>
        <w:tc>
          <w:tcPr>
            <w:tcW w:w="380" w:type="dxa"/>
            <w:vAlign w:val="bottom"/>
            <w:shd w:val="clear" w:color="auto" w:fill="C3D5EE"/>
          </w:tcPr>
          <w:p>
            <w:pPr>
              <w:jc w:val="right"/>
              <w:ind w:right="29"/>
              <w:spacing w:after="0" w:line="199" w:lineRule="exact"/>
              <w:rPr>
                <w:sz w:val="20"/>
                <w:szCs w:val="20"/>
                <w:color w:val="auto"/>
              </w:rPr>
            </w:pPr>
            <w:r>
              <w:rPr>
                <w:rFonts w:ascii="Arial" w:cs="Arial" w:eastAsia="Arial" w:hAnsi="Arial"/>
                <w:sz w:val="18"/>
                <w:szCs w:val="18"/>
                <w:color w:val="auto"/>
              </w:rPr>
              <w:t>$</w:t>
            </w:r>
          </w:p>
        </w:tc>
        <w:tc>
          <w:tcPr>
            <w:tcW w:w="1080" w:type="dxa"/>
            <w:vAlign w:val="bottom"/>
            <w:tcBorders>
              <w:right w:val="single" w:sz="8" w:color="E7E6E6"/>
            </w:tcBorders>
            <w:shd w:val="clear" w:color="auto" w:fill="C3D5EE"/>
          </w:tcPr>
          <w:p>
            <w:pPr>
              <w:jc w:val="right"/>
              <w:ind w:right="49"/>
              <w:spacing w:after="0" w:line="199" w:lineRule="exact"/>
              <w:rPr>
                <w:sz w:val="20"/>
                <w:szCs w:val="20"/>
                <w:color w:val="auto"/>
              </w:rPr>
            </w:pPr>
            <w:r>
              <w:rPr>
                <w:rFonts w:ascii="Arial" w:cs="Arial" w:eastAsia="Arial" w:hAnsi="Arial"/>
                <w:sz w:val="18"/>
                <w:szCs w:val="18"/>
                <w:color w:val="auto"/>
              </w:rPr>
              <w:t>1,511,557</w:t>
            </w:r>
          </w:p>
        </w:tc>
        <w:tc>
          <w:tcPr>
            <w:tcW w:w="260" w:type="dxa"/>
            <w:vAlign w:val="bottom"/>
            <w:shd w:val="clear" w:color="auto" w:fill="C3D5EE"/>
          </w:tcPr>
          <w:p>
            <w:pPr>
              <w:jc w:val="right"/>
              <w:spacing w:after="0" w:line="199" w:lineRule="exact"/>
              <w:rPr>
                <w:sz w:val="20"/>
                <w:szCs w:val="20"/>
                <w:color w:val="auto"/>
              </w:rPr>
            </w:pPr>
            <w:r>
              <w:rPr>
                <w:rFonts w:ascii="Arial" w:cs="Arial" w:eastAsia="Arial" w:hAnsi="Arial"/>
                <w:sz w:val="18"/>
                <w:szCs w:val="18"/>
                <w:color w:val="auto"/>
              </w:rPr>
              <w:t>$</w:t>
            </w:r>
          </w:p>
        </w:tc>
        <w:tc>
          <w:tcPr>
            <w:tcW w:w="1320" w:type="dxa"/>
            <w:vAlign w:val="bottom"/>
            <w:shd w:val="clear" w:color="auto" w:fill="C3D5EE"/>
          </w:tcPr>
          <w:p>
            <w:pPr>
              <w:jc w:val="right"/>
              <w:ind w:right="9"/>
              <w:spacing w:after="0" w:line="199" w:lineRule="exact"/>
              <w:rPr>
                <w:sz w:val="20"/>
                <w:szCs w:val="20"/>
                <w:color w:val="auto"/>
              </w:rPr>
            </w:pPr>
            <w:r>
              <w:rPr>
                <w:rFonts w:ascii="Arial" w:cs="Arial" w:eastAsia="Arial" w:hAnsi="Arial"/>
                <w:sz w:val="18"/>
                <w:szCs w:val="18"/>
                <w:color w:val="auto"/>
              </w:rPr>
              <w:t>3,023,114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820" w:type="dxa"/>
            <w:vAlign w:val="bottom"/>
            <w:tcBorders>
              <w:bottom w:val="single" w:sz="8" w:color="auto"/>
              <w:right w:val="single" w:sz="8" w:color="E7E6E6"/>
            </w:tcBorders>
          </w:tcPr>
          <w:p>
            <w:pPr>
              <w:ind w:left="80"/>
              <w:spacing w:after="0" w:line="199" w:lineRule="exact"/>
              <w:rPr>
                <w:sz w:val="20"/>
                <w:szCs w:val="20"/>
                <w:color w:val="auto"/>
              </w:rPr>
            </w:pPr>
            <w:r>
              <w:rPr>
                <w:rFonts w:ascii="Arial" w:cs="Arial" w:eastAsia="Arial" w:hAnsi="Arial"/>
                <w:sz w:val="18"/>
                <w:szCs w:val="18"/>
                <w:b w:val="1"/>
                <w:bCs w:val="1"/>
                <w:color w:val="auto"/>
              </w:rPr>
              <w:t>Michaela J. Hildreth</w:t>
            </w:r>
          </w:p>
        </w:tc>
        <w:tc>
          <w:tcPr>
            <w:tcW w:w="1560" w:type="dxa"/>
            <w:vAlign w:val="bottom"/>
            <w:tcBorders>
              <w:bottom w:val="single" w:sz="8" w:color="auto"/>
              <w:right w:val="single" w:sz="8" w:color="E7E6E6"/>
            </w:tcBorders>
          </w:tcPr>
          <w:p>
            <w:pPr>
              <w:jc w:val="center"/>
              <w:spacing w:after="0" w:line="199" w:lineRule="exact"/>
              <w:rPr>
                <w:sz w:val="20"/>
                <w:szCs w:val="20"/>
                <w:color w:val="auto"/>
              </w:rPr>
            </w:pPr>
            <w:r>
              <w:rPr>
                <w:rFonts w:ascii="Arial" w:cs="Arial" w:eastAsia="Arial" w:hAnsi="Arial"/>
                <w:sz w:val="18"/>
                <w:szCs w:val="18"/>
                <w:color w:val="auto"/>
              </w:rPr>
              <w:t>2/26/2025</w:t>
            </w:r>
          </w:p>
        </w:tc>
        <w:tc>
          <w:tcPr>
            <w:tcW w:w="1120" w:type="dxa"/>
            <w:vAlign w:val="bottom"/>
            <w:tcBorders>
              <w:bottom w:val="single" w:sz="8" w:color="auto"/>
              <w:right w:val="single" w:sz="8" w:color="E7E6E6"/>
            </w:tcBorders>
          </w:tcPr>
          <w:p>
            <w:pPr>
              <w:jc w:val="right"/>
              <w:ind w:right="9"/>
              <w:spacing w:after="0" w:line="199" w:lineRule="exact"/>
              <w:rPr>
                <w:sz w:val="20"/>
                <w:szCs w:val="20"/>
                <w:color w:val="auto"/>
              </w:rPr>
            </w:pPr>
            <w:r>
              <w:rPr>
                <w:rFonts w:ascii="Arial" w:cs="Arial" w:eastAsia="Arial" w:hAnsi="Arial"/>
                <w:sz w:val="18"/>
                <w:szCs w:val="18"/>
                <w:color w:val="auto"/>
              </w:rPr>
              <w:t>625</w:t>
            </w:r>
          </w:p>
        </w:tc>
        <w:tc>
          <w:tcPr>
            <w:tcW w:w="460" w:type="dxa"/>
            <w:vAlign w:val="bottom"/>
            <w:tcBorders>
              <w:bottom w:val="single" w:sz="8" w:color="auto"/>
            </w:tcBorders>
          </w:tcPr>
          <w:p>
            <w:pPr>
              <w:jc w:val="right"/>
              <w:ind w:right="49"/>
              <w:spacing w:after="0" w:line="199"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9"/>
              <w:spacing w:after="0" w:line="199" w:lineRule="exact"/>
              <w:rPr>
                <w:sz w:val="20"/>
                <w:szCs w:val="20"/>
                <w:color w:val="auto"/>
              </w:rPr>
            </w:pPr>
            <w:r>
              <w:rPr>
                <w:rFonts w:ascii="Arial" w:cs="Arial" w:eastAsia="Arial" w:hAnsi="Arial"/>
                <w:sz w:val="18"/>
                <w:szCs w:val="18"/>
                <w:color w:val="auto"/>
              </w:rPr>
              <w:t>1,145,119</w:t>
            </w:r>
          </w:p>
        </w:tc>
        <w:tc>
          <w:tcPr>
            <w:tcW w:w="1120" w:type="dxa"/>
            <w:vAlign w:val="bottom"/>
            <w:tcBorders>
              <w:bottom w:val="single" w:sz="8" w:color="auto"/>
              <w:right w:val="single" w:sz="8" w:color="E7E6E6"/>
            </w:tcBorders>
          </w:tcPr>
          <w:p>
            <w:pPr>
              <w:jc w:val="right"/>
              <w:ind w:right="29"/>
              <w:spacing w:after="0" w:line="199" w:lineRule="exact"/>
              <w:rPr>
                <w:sz w:val="20"/>
                <w:szCs w:val="20"/>
                <w:color w:val="auto"/>
              </w:rPr>
            </w:pPr>
            <w:r>
              <w:rPr>
                <w:rFonts w:ascii="Arial" w:cs="Arial" w:eastAsia="Arial" w:hAnsi="Arial"/>
                <w:sz w:val="18"/>
                <w:szCs w:val="18"/>
                <w:color w:val="auto"/>
              </w:rPr>
              <w:t>625</w:t>
            </w:r>
          </w:p>
        </w:tc>
        <w:tc>
          <w:tcPr>
            <w:tcW w:w="380" w:type="dxa"/>
            <w:vAlign w:val="bottom"/>
            <w:tcBorders>
              <w:bottom w:val="single" w:sz="8" w:color="auto"/>
            </w:tcBorders>
          </w:tcPr>
          <w:p>
            <w:pPr>
              <w:jc w:val="right"/>
              <w:ind w:right="29"/>
              <w:spacing w:after="0" w:line="199"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E7E6E6"/>
            </w:tcBorders>
          </w:tcPr>
          <w:p>
            <w:pPr>
              <w:jc w:val="right"/>
              <w:ind w:right="49"/>
              <w:spacing w:after="0" w:line="199" w:lineRule="exact"/>
              <w:rPr>
                <w:sz w:val="20"/>
                <w:szCs w:val="20"/>
                <w:color w:val="auto"/>
              </w:rPr>
            </w:pPr>
            <w:r>
              <w:rPr>
                <w:rFonts w:ascii="Arial" w:cs="Arial" w:eastAsia="Arial" w:hAnsi="Arial"/>
                <w:sz w:val="18"/>
                <w:szCs w:val="18"/>
                <w:color w:val="auto"/>
              </w:rPr>
              <w:t>1,145,119</w:t>
            </w:r>
          </w:p>
        </w:tc>
        <w:tc>
          <w:tcPr>
            <w:tcW w:w="2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2,290,238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2773045</wp:posOffset>
            </wp:positionH>
            <wp:positionV relativeFrom="paragraph">
              <wp:posOffset>-781685</wp:posOffset>
            </wp:positionV>
            <wp:extent cx="335026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50260" cy="7620"/>
                    </a:xfrm>
                    <a:prstGeom prst="rect">
                      <a:avLst/>
                    </a:prstGeom>
                    <a:noFill/>
                  </pic:spPr>
                </pic:pic>
              </a:graphicData>
            </a:graphic>
          </wp:anchor>
        </w:drawing>
        <w:drawing>
          <wp:anchor simplePos="0" relativeHeight="251657728" behindDoc="1" locked="0" layoutInCell="0" allowOverlap="1">
            <wp:simplePos x="0" y="0"/>
            <wp:positionH relativeFrom="column">
              <wp:posOffset>1777365</wp:posOffset>
            </wp:positionH>
            <wp:positionV relativeFrom="paragraph">
              <wp:posOffset>-947420</wp:posOffset>
            </wp:positionV>
            <wp:extent cx="536511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365115" cy="7620"/>
                    </a:xfrm>
                    <a:prstGeom prst="rect">
                      <a:avLst/>
                    </a:prstGeom>
                    <a:noFill/>
                  </pic:spPr>
                </pic:pic>
              </a:graphicData>
            </a:graphic>
          </wp:anchor>
        </w:drawing>
      </w:r>
    </w:p>
    <w:p>
      <w:pPr>
        <w:spacing w:after="0" w:line="158" w:lineRule="exact"/>
        <w:rPr>
          <w:sz w:val="20"/>
          <w:szCs w:val="20"/>
          <w:color w:val="auto"/>
        </w:rPr>
      </w:pPr>
    </w:p>
    <w:p>
      <w:pPr>
        <w:ind w:right="80" w:firstLine="299"/>
        <w:spacing w:after="0"/>
        <w:rPr>
          <w:sz w:val="20"/>
          <w:szCs w:val="20"/>
          <w:color w:val="auto"/>
        </w:rPr>
      </w:pPr>
      <w:r>
        <w:rPr>
          <w:rFonts w:ascii="Arial" w:cs="Arial" w:eastAsia="Arial" w:hAnsi="Arial"/>
          <w:sz w:val="18"/>
          <w:szCs w:val="18"/>
          <w:color w:val="auto"/>
        </w:rPr>
        <w:t>In determining the amount of new long-term incentive compensation grants for our NEOs for 2025, the CNG Committee assessed each executive’s scope of authority and ability to impact the success of the Company. Based on the CNG Committee’s general experience, familiarity with the Company and its compensation practices and the recommendation of the CEO (for NEOs other than himself), the CNG Committee established a grant level that it believed was appropriate to reflect each such executive’s expected contribution to the Company over the next performance cycle.</w:t>
      </w:r>
    </w:p>
    <w:p>
      <w:pPr>
        <w:spacing w:after="0" w:line="160" w:lineRule="exact"/>
        <w:rPr>
          <w:sz w:val="20"/>
          <w:szCs w:val="20"/>
          <w:color w:val="auto"/>
        </w:rPr>
      </w:pPr>
    </w:p>
    <w:p>
      <w:pPr>
        <w:ind w:right="60" w:firstLine="299"/>
        <w:spacing w:after="0" w:line="238" w:lineRule="auto"/>
        <w:rPr>
          <w:sz w:val="20"/>
          <w:szCs w:val="20"/>
          <w:color w:val="auto"/>
        </w:rPr>
      </w:pPr>
      <w:r>
        <w:rPr>
          <w:rFonts w:ascii="Arial" w:cs="Arial" w:eastAsia="Arial" w:hAnsi="Arial"/>
          <w:sz w:val="18"/>
          <w:szCs w:val="18"/>
          <w:i w:val="1"/>
          <w:iCs w:val="1"/>
          <w:u w:val="single" w:color="auto"/>
          <w:color w:val="auto"/>
        </w:rPr>
        <w:t>Payout of 2023-2025 Performance Cycle</w:t>
      </w:r>
      <w:r>
        <w:rPr>
          <w:rFonts w:ascii="Arial" w:cs="Arial" w:eastAsia="Arial" w:hAnsi="Arial"/>
          <w:sz w:val="18"/>
          <w:szCs w:val="18"/>
          <w:color w:val="auto"/>
        </w:rPr>
        <w:t>: For the 2023-2025 performance cycle, long-term incentives were granted to the NEOs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 50% as performance shares and 50% as restricted shares. For the performance shares, which matured at the end of 2025, 11% annual growth in CVPS was the performance target for a payout of 100% of the target performance shares. Annual growth of 6% or less would have resulted in no payout, and annual growth of 16% or more would have resulted in a payout of 200%. At its meeting in February 2026, based on an average annual growth in CVPS of 15.2% during the 2023-2025 performance cycle, the CNG Committee confirmed that the payout that was earned was 184%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50735" cy="10744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0735" cy="1074420"/>
                    </a:xfrm>
                    <a:prstGeom prst="rect">
                      <a:avLst/>
                    </a:prstGeom>
                    <a:noFill/>
                  </pic:spPr>
                </pic:pic>
              </a:graphicData>
            </a:graphic>
          </wp:anchor>
        </w:drawing>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FFFFFF"/>
        </w:rPr>
        <w:t>2023-2025 Performance Share Cycle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80" w:type="dxa"/>
            <w:vAlign w:val="bottom"/>
            <w:tcBorders>
              <w:top w:val="single" w:sz="8" w:color="E7E6E6"/>
            </w:tcBorders>
          </w:tcPr>
          <w:p>
            <w:pPr>
              <w:spacing w:after="0"/>
              <w:rPr>
                <w:sz w:val="14"/>
                <w:szCs w:val="14"/>
                <w:color w:val="auto"/>
              </w:rPr>
            </w:pPr>
          </w:p>
        </w:tc>
        <w:tc>
          <w:tcPr>
            <w:tcW w:w="1700" w:type="dxa"/>
            <w:vAlign w:val="bottom"/>
            <w:tcBorders>
              <w:top w:val="single" w:sz="8" w:color="E7E6E6"/>
              <w:right w:val="single" w:sz="8" w:color="E7E6E6"/>
            </w:tcBorders>
          </w:tcPr>
          <w:p>
            <w:pPr>
              <w:spacing w:after="0"/>
              <w:rPr>
                <w:sz w:val="14"/>
                <w:szCs w:val="14"/>
                <w:color w:val="auto"/>
              </w:rPr>
            </w:pPr>
          </w:p>
        </w:tc>
        <w:tc>
          <w:tcPr>
            <w:tcW w:w="2700" w:type="dxa"/>
            <w:vAlign w:val="bottom"/>
            <w:tcBorders>
              <w:top w:val="single" w:sz="8" w:color="E7E6E6"/>
            </w:tcBorders>
            <w:vMerge w:val="restart"/>
          </w:tcPr>
          <w:p>
            <w:pPr>
              <w:jc w:val="center"/>
              <w:spacing w:after="0"/>
              <w:rPr>
                <w:sz w:val="20"/>
                <w:szCs w:val="20"/>
                <w:color w:val="auto"/>
              </w:rPr>
            </w:pPr>
            <w:r>
              <w:rPr>
                <w:rFonts w:ascii="Arial" w:cs="Arial" w:eastAsia="Arial" w:hAnsi="Arial"/>
                <w:sz w:val="18"/>
                <w:szCs w:val="18"/>
                <w:b w:val="1"/>
                <w:bCs w:val="1"/>
                <w:color w:val="FFFFFF"/>
              </w:rPr>
              <w:t>Performance Scale</w:t>
            </w:r>
          </w:p>
        </w:tc>
        <w:tc>
          <w:tcPr>
            <w:tcW w:w="1540" w:type="dxa"/>
            <w:vAlign w:val="bottom"/>
            <w:tcBorders>
              <w:top w:val="single" w:sz="8" w:color="E7E6E6"/>
            </w:tcBorders>
          </w:tcPr>
          <w:p>
            <w:pPr>
              <w:jc w:val="center"/>
              <w:spacing w:after="0" w:line="170" w:lineRule="exact"/>
              <w:rPr>
                <w:sz w:val="20"/>
                <w:szCs w:val="20"/>
                <w:color w:val="auto"/>
              </w:rPr>
            </w:pPr>
            <w:r>
              <w:rPr>
                <w:rFonts w:ascii="Arial" w:cs="Arial" w:eastAsia="Arial" w:hAnsi="Arial"/>
                <w:sz w:val="18"/>
                <w:szCs w:val="18"/>
                <w:b w:val="1"/>
                <w:bCs w:val="1"/>
                <w:color w:val="FFFFFF"/>
              </w:rPr>
              <w:t>Actual</w:t>
            </w:r>
          </w:p>
        </w:tc>
        <w:tc>
          <w:tcPr>
            <w:tcW w:w="1500" w:type="dxa"/>
            <w:vAlign w:val="bottom"/>
            <w:tcBorders>
              <w:top w:val="single" w:sz="8" w:color="E7E6E6"/>
            </w:tcBorders>
          </w:tcPr>
          <w:p>
            <w:pPr>
              <w:spacing w:after="0"/>
              <w:rPr>
                <w:sz w:val="14"/>
                <w:szCs w:val="14"/>
                <w:color w:val="auto"/>
              </w:rPr>
            </w:pPr>
          </w:p>
        </w:tc>
        <w:tc>
          <w:tcPr>
            <w:tcW w:w="1620" w:type="dxa"/>
            <w:vAlign w:val="bottom"/>
            <w:tcBorders>
              <w:top w:val="single" w:sz="8" w:color="E7E6E6"/>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180" w:type="dxa"/>
            <w:vAlign w:val="bottom"/>
            <w:vMerge w:val="restart"/>
          </w:tcPr>
          <w:p>
            <w:pPr>
              <w:ind w:left="700"/>
              <w:spacing w:after="0"/>
              <w:rPr>
                <w:sz w:val="20"/>
                <w:szCs w:val="20"/>
                <w:color w:val="auto"/>
              </w:rPr>
            </w:pPr>
            <w:r>
              <w:rPr>
                <w:rFonts w:ascii="Arial" w:cs="Arial" w:eastAsia="Arial" w:hAnsi="Arial"/>
                <w:sz w:val="18"/>
                <w:szCs w:val="18"/>
                <w:b w:val="1"/>
                <w:bCs w:val="1"/>
                <w:color w:val="FFFFFF"/>
              </w:rPr>
              <w:t>Executive</w:t>
            </w:r>
          </w:p>
        </w:tc>
        <w:tc>
          <w:tcPr>
            <w:tcW w:w="1700" w:type="dxa"/>
            <w:vAlign w:val="bottom"/>
            <w:tcBorders>
              <w:right w:val="single" w:sz="8" w:color="E7E6E6"/>
            </w:tcBorders>
            <w:vMerge w:val="restart"/>
          </w:tcPr>
          <w:p>
            <w:pPr>
              <w:jc w:val="right"/>
              <w:ind w:right="149"/>
              <w:spacing w:after="0"/>
              <w:rPr>
                <w:sz w:val="20"/>
                <w:szCs w:val="20"/>
                <w:color w:val="auto"/>
              </w:rPr>
            </w:pPr>
            <w:r>
              <w:rPr>
                <w:rFonts w:ascii="Arial" w:cs="Arial" w:eastAsia="Arial" w:hAnsi="Arial"/>
                <w:sz w:val="18"/>
                <w:szCs w:val="18"/>
                <w:b w:val="1"/>
                <w:bCs w:val="1"/>
                <w:color w:val="FFFFFF"/>
              </w:rPr>
              <w:t>Target Shares</w:t>
            </w:r>
          </w:p>
        </w:tc>
        <w:tc>
          <w:tcPr>
            <w:tcW w:w="2700" w:type="dxa"/>
            <w:vAlign w:val="bottom"/>
            <w:vMerge w:val="continue"/>
          </w:tcPr>
          <w:p>
            <w:pPr>
              <w:spacing w:after="0"/>
              <w:rPr>
                <w:sz w:val="17"/>
                <w:szCs w:val="17"/>
                <w:color w:val="auto"/>
              </w:rPr>
            </w:pPr>
          </w:p>
        </w:tc>
        <w:tc>
          <w:tcPr>
            <w:tcW w:w="1540" w:type="dxa"/>
            <w:vAlign w:val="bottom"/>
          </w:tcPr>
          <w:p>
            <w:pPr>
              <w:jc w:val="center"/>
              <w:spacing w:after="0" w:line="199" w:lineRule="exact"/>
              <w:rPr>
                <w:sz w:val="20"/>
                <w:szCs w:val="20"/>
                <w:color w:val="auto"/>
              </w:rPr>
            </w:pPr>
            <w:r>
              <w:rPr>
                <w:rFonts w:ascii="Arial" w:cs="Arial" w:eastAsia="Arial" w:hAnsi="Arial"/>
                <w:sz w:val="18"/>
                <w:szCs w:val="18"/>
                <w:b w:val="1"/>
                <w:bCs w:val="1"/>
                <w:color w:val="FFFFFF"/>
              </w:rPr>
              <w:t>Annual</w:t>
            </w:r>
          </w:p>
        </w:tc>
        <w:tc>
          <w:tcPr>
            <w:tcW w:w="1500" w:type="dxa"/>
            <w:vAlign w:val="bottom"/>
            <w:vMerge w:val="restart"/>
          </w:tcPr>
          <w:p>
            <w:pPr>
              <w:jc w:val="center"/>
              <w:ind w:left="49"/>
              <w:spacing w:after="0"/>
              <w:rPr>
                <w:sz w:val="20"/>
                <w:szCs w:val="20"/>
                <w:color w:val="auto"/>
              </w:rPr>
            </w:pPr>
            <w:r>
              <w:rPr>
                <w:rFonts w:ascii="Arial" w:cs="Arial" w:eastAsia="Arial" w:hAnsi="Arial"/>
                <w:sz w:val="18"/>
                <w:szCs w:val="18"/>
                <w:b w:val="1"/>
                <w:bCs w:val="1"/>
                <w:color w:val="FFFFFF"/>
              </w:rPr>
              <w:t>Payout %</w:t>
            </w:r>
          </w:p>
        </w:tc>
        <w:tc>
          <w:tcPr>
            <w:tcW w:w="1620" w:type="dxa"/>
            <w:vAlign w:val="bottom"/>
            <w:vMerge w:val="restart"/>
          </w:tcPr>
          <w:p>
            <w:pPr>
              <w:jc w:val="right"/>
              <w:spacing w:after="0"/>
              <w:rPr>
                <w:sz w:val="20"/>
                <w:szCs w:val="20"/>
                <w:color w:val="auto"/>
              </w:rPr>
            </w:pPr>
            <w:r>
              <w:rPr>
                <w:rFonts w:ascii="Arial" w:cs="Arial" w:eastAsia="Arial" w:hAnsi="Arial"/>
                <w:sz w:val="18"/>
                <w:szCs w:val="18"/>
                <w:b w:val="1"/>
                <w:bCs w:val="1"/>
                <w:color w:val="FFFFFF"/>
              </w:rPr>
              <w:t>Shares Earned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180" w:type="dxa"/>
            <w:vAlign w:val="bottom"/>
            <w:vMerge w:val="continue"/>
          </w:tcPr>
          <w:p>
            <w:pPr>
              <w:spacing w:after="0"/>
              <w:rPr>
                <w:sz w:val="19"/>
                <w:szCs w:val="19"/>
                <w:color w:val="auto"/>
              </w:rPr>
            </w:pPr>
          </w:p>
        </w:tc>
        <w:tc>
          <w:tcPr>
            <w:tcW w:w="1700" w:type="dxa"/>
            <w:vAlign w:val="bottom"/>
            <w:tcBorders>
              <w:right w:val="single" w:sz="8" w:color="E7E6E6"/>
            </w:tcBorders>
            <w:vMerge w:val="continue"/>
          </w:tcPr>
          <w:p>
            <w:pPr>
              <w:spacing w:after="0"/>
              <w:rPr>
                <w:sz w:val="19"/>
                <w:szCs w:val="19"/>
                <w:color w:val="auto"/>
              </w:rPr>
            </w:pPr>
          </w:p>
        </w:tc>
        <w:tc>
          <w:tcPr>
            <w:tcW w:w="2700" w:type="dxa"/>
            <w:vAlign w:val="bottom"/>
          </w:tcPr>
          <w:p>
            <w:pPr>
              <w:jc w:val="center"/>
              <w:spacing w:after="0" w:line="199" w:lineRule="exact"/>
              <w:rPr>
                <w:sz w:val="20"/>
                <w:szCs w:val="20"/>
                <w:color w:val="auto"/>
              </w:rPr>
            </w:pPr>
            <w:r>
              <w:rPr>
                <w:rFonts w:ascii="Arial" w:cs="Arial" w:eastAsia="Arial" w:hAnsi="Arial"/>
                <w:sz w:val="18"/>
                <w:szCs w:val="18"/>
                <w:b w:val="1"/>
                <w:bCs w:val="1"/>
                <w:color w:val="FFFFFF"/>
              </w:rPr>
              <w:t>(min / target / max)</w:t>
            </w:r>
          </w:p>
        </w:tc>
        <w:tc>
          <w:tcPr>
            <w:tcW w:w="1540" w:type="dxa"/>
            <w:vAlign w:val="bottom"/>
          </w:tcPr>
          <w:p>
            <w:pPr>
              <w:jc w:val="center"/>
              <w:spacing w:after="0" w:line="199" w:lineRule="exact"/>
              <w:rPr>
                <w:sz w:val="20"/>
                <w:szCs w:val="20"/>
                <w:color w:val="auto"/>
              </w:rPr>
            </w:pPr>
            <w:r>
              <w:rPr>
                <w:rFonts w:ascii="Arial" w:cs="Arial" w:eastAsia="Arial" w:hAnsi="Arial"/>
                <w:sz w:val="18"/>
                <w:szCs w:val="18"/>
                <w:b w:val="1"/>
                <w:bCs w:val="1"/>
                <w:color w:val="FFFFFF"/>
              </w:rPr>
              <w:t>Growth</w:t>
            </w:r>
          </w:p>
        </w:tc>
        <w:tc>
          <w:tcPr>
            <w:tcW w:w="1500" w:type="dxa"/>
            <w:vAlign w:val="bottom"/>
            <w:vMerge w:val="continue"/>
          </w:tcPr>
          <w:p>
            <w:pPr>
              <w:spacing w:after="0"/>
              <w:rPr>
                <w:sz w:val="19"/>
                <w:szCs w:val="19"/>
                <w:color w:val="auto"/>
              </w:rPr>
            </w:pPr>
          </w:p>
        </w:tc>
        <w:tc>
          <w:tcPr>
            <w:tcW w:w="16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180" w:type="dxa"/>
            <w:vAlign w:val="bottom"/>
          </w:tcPr>
          <w:p>
            <w:pPr>
              <w:ind w:left="80"/>
              <w:spacing w:after="0" w:line="199" w:lineRule="exact"/>
              <w:rPr>
                <w:sz w:val="20"/>
                <w:szCs w:val="20"/>
                <w:color w:val="auto"/>
              </w:rPr>
            </w:pPr>
            <w:r>
              <w:rPr>
                <w:rFonts w:ascii="Arial" w:cs="Arial" w:eastAsia="Arial" w:hAnsi="Arial"/>
                <w:sz w:val="18"/>
                <w:szCs w:val="18"/>
                <w:b w:val="1"/>
                <w:bCs w:val="1"/>
                <w:color w:val="auto"/>
              </w:rPr>
              <w:t>G. Manning Rountree</w:t>
            </w:r>
          </w:p>
        </w:tc>
        <w:tc>
          <w:tcPr>
            <w:tcW w:w="1700" w:type="dxa"/>
            <w:vAlign w:val="bottom"/>
          </w:tcPr>
          <w:p>
            <w:pPr>
              <w:jc w:val="right"/>
              <w:ind w:right="9"/>
              <w:spacing w:after="0" w:line="199" w:lineRule="exact"/>
              <w:rPr>
                <w:sz w:val="20"/>
                <w:szCs w:val="20"/>
                <w:color w:val="auto"/>
              </w:rPr>
            </w:pPr>
            <w:r>
              <w:rPr>
                <w:rFonts w:ascii="Arial" w:cs="Arial" w:eastAsia="Arial" w:hAnsi="Arial"/>
                <w:sz w:val="18"/>
                <w:szCs w:val="18"/>
                <w:color w:val="auto"/>
              </w:rPr>
              <w:t>2,000</w:t>
            </w:r>
          </w:p>
        </w:tc>
        <w:tc>
          <w:tcPr>
            <w:tcW w:w="2700" w:type="dxa"/>
            <w:vAlign w:val="bottom"/>
          </w:tcPr>
          <w:p>
            <w:pPr>
              <w:jc w:val="center"/>
              <w:spacing w:after="0" w:line="199" w:lineRule="exact"/>
              <w:rPr>
                <w:sz w:val="20"/>
                <w:szCs w:val="20"/>
                <w:color w:val="auto"/>
              </w:rPr>
            </w:pPr>
            <w:r>
              <w:rPr>
                <w:rFonts w:ascii="Arial" w:cs="Arial" w:eastAsia="Arial" w:hAnsi="Arial"/>
                <w:sz w:val="18"/>
                <w:szCs w:val="18"/>
                <w:color w:val="auto"/>
                <w:w w:val="99"/>
              </w:rPr>
              <w:t>6% - 11% - 16%</w:t>
            </w:r>
          </w:p>
        </w:tc>
        <w:tc>
          <w:tcPr>
            <w:tcW w:w="1540" w:type="dxa"/>
            <w:vAlign w:val="bottom"/>
          </w:tcPr>
          <w:p>
            <w:pPr>
              <w:jc w:val="center"/>
              <w:spacing w:after="0" w:line="199" w:lineRule="exact"/>
              <w:rPr>
                <w:sz w:val="20"/>
                <w:szCs w:val="20"/>
                <w:color w:val="auto"/>
              </w:rPr>
            </w:pPr>
            <w:r>
              <w:rPr>
                <w:rFonts w:ascii="Arial" w:cs="Arial" w:eastAsia="Arial" w:hAnsi="Arial"/>
                <w:sz w:val="18"/>
                <w:szCs w:val="18"/>
                <w:color w:val="auto"/>
              </w:rPr>
              <w:t>15.2%</w:t>
            </w:r>
          </w:p>
        </w:tc>
        <w:tc>
          <w:tcPr>
            <w:tcW w:w="1500" w:type="dxa"/>
            <w:vAlign w:val="bottom"/>
          </w:tcPr>
          <w:p>
            <w:pPr>
              <w:jc w:val="center"/>
              <w:ind w:left="49"/>
              <w:spacing w:after="0" w:line="199" w:lineRule="exact"/>
              <w:rPr>
                <w:sz w:val="20"/>
                <w:szCs w:val="20"/>
                <w:color w:val="auto"/>
              </w:rPr>
            </w:pPr>
            <w:r>
              <w:rPr>
                <w:rFonts w:ascii="Arial" w:cs="Arial" w:eastAsia="Arial" w:hAnsi="Arial"/>
                <w:sz w:val="18"/>
                <w:szCs w:val="18"/>
                <w:color w:val="auto"/>
              </w:rPr>
              <w:t>184%</w:t>
            </w:r>
          </w:p>
        </w:tc>
        <w:tc>
          <w:tcPr>
            <w:tcW w:w="1620" w:type="dxa"/>
            <w:vAlign w:val="bottom"/>
          </w:tcPr>
          <w:p>
            <w:pPr>
              <w:jc w:val="right"/>
              <w:ind w:right="229"/>
              <w:spacing w:after="0" w:line="199" w:lineRule="exact"/>
              <w:rPr>
                <w:sz w:val="20"/>
                <w:szCs w:val="20"/>
                <w:color w:val="auto"/>
              </w:rPr>
            </w:pPr>
            <w:r>
              <w:rPr>
                <w:rFonts w:ascii="Arial" w:cs="Arial" w:eastAsia="Arial" w:hAnsi="Arial"/>
                <w:sz w:val="18"/>
                <w:szCs w:val="18"/>
                <w:color w:val="auto"/>
              </w:rPr>
              <w:t>3,680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180" w:type="dxa"/>
            <w:vAlign w:val="bottom"/>
            <w:shd w:val="clear" w:color="auto" w:fill="C3D5EE"/>
          </w:tcPr>
          <w:p>
            <w:pPr>
              <w:ind w:left="80"/>
              <w:spacing w:after="0" w:line="199" w:lineRule="exact"/>
              <w:rPr>
                <w:sz w:val="20"/>
                <w:szCs w:val="20"/>
                <w:color w:val="auto"/>
              </w:rPr>
            </w:pPr>
            <w:r>
              <w:rPr>
                <w:rFonts w:ascii="Arial" w:cs="Arial" w:eastAsia="Arial" w:hAnsi="Arial"/>
                <w:sz w:val="18"/>
                <w:szCs w:val="18"/>
                <w:b w:val="1"/>
                <w:bCs w:val="1"/>
                <w:color w:val="auto"/>
              </w:rPr>
              <w:t>Liam P. Caffrey</w:t>
            </w:r>
          </w:p>
        </w:tc>
        <w:tc>
          <w:tcPr>
            <w:tcW w:w="1700" w:type="dxa"/>
            <w:vAlign w:val="bottom"/>
            <w:tcBorders>
              <w:right w:val="single" w:sz="8" w:color="C3D5EE"/>
            </w:tcBorders>
            <w:shd w:val="clear" w:color="auto" w:fill="C3D5EE"/>
          </w:tcPr>
          <w:p>
            <w:pPr>
              <w:jc w:val="right"/>
              <w:ind w:right="9"/>
              <w:spacing w:after="0" w:line="199" w:lineRule="exact"/>
              <w:rPr>
                <w:sz w:val="20"/>
                <w:szCs w:val="20"/>
                <w:color w:val="auto"/>
              </w:rPr>
            </w:pPr>
            <w:r>
              <w:rPr>
                <w:rFonts w:ascii="Arial" w:cs="Arial" w:eastAsia="Arial" w:hAnsi="Arial"/>
                <w:sz w:val="18"/>
                <w:szCs w:val="18"/>
                <w:color w:val="auto"/>
              </w:rPr>
              <w:t>1,250</w:t>
            </w:r>
          </w:p>
        </w:tc>
        <w:tc>
          <w:tcPr>
            <w:tcW w:w="2700" w:type="dxa"/>
            <w:vAlign w:val="bottom"/>
            <w:shd w:val="clear" w:color="auto" w:fill="C3D5EE"/>
          </w:tcPr>
          <w:p>
            <w:pPr>
              <w:jc w:val="center"/>
              <w:spacing w:after="0" w:line="199" w:lineRule="exact"/>
              <w:rPr>
                <w:sz w:val="20"/>
                <w:szCs w:val="20"/>
                <w:color w:val="auto"/>
              </w:rPr>
            </w:pPr>
            <w:r>
              <w:rPr>
                <w:rFonts w:ascii="Arial" w:cs="Arial" w:eastAsia="Arial" w:hAnsi="Arial"/>
                <w:sz w:val="18"/>
                <w:szCs w:val="18"/>
                <w:color w:val="auto"/>
                <w:w w:val="99"/>
              </w:rPr>
              <w:t>6% - 11% - 16%</w:t>
            </w:r>
          </w:p>
        </w:tc>
        <w:tc>
          <w:tcPr>
            <w:tcW w:w="1540" w:type="dxa"/>
            <w:vAlign w:val="bottom"/>
            <w:shd w:val="clear" w:color="auto" w:fill="C3D5EE"/>
          </w:tcPr>
          <w:p>
            <w:pPr>
              <w:jc w:val="center"/>
              <w:spacing w:after="0" w:line="199" w:lineRule="exact"/>
              <w:rPr>
                <w:sz w:val="20"/>
                <w:szCs w:val="20"/>
                <w:color w:val="auto"/>
              </w:rPr>
            </w:pPr>
            <w:r>
              <w:rPr>
                <w:rFonts w:ascii="Arial" w:cs="Arial" w:eastAsia="Arial" w:hAnsi="Arial"/>
                <w:sz w:val="18"/>
                <w:szCs w:val="18"/>
                <w:color w:val="auto"/>
              </w:rPr>
              <w:t>15.2%</w:t>
            </w:r>
          </w:p>
        </w:tc>
        <w:tc>
          <w:tcPr>
            <w:tcW w:w="1500" w:type="dxa"/>
            <w:vAlign w:val="bottom"/>
            <w:shd w:val="clear" w:color="auto" w:fill="C3D5EE"/>
          </w:tcPr>
          <w:p>
            <w:pPr>
              <w:jc w:val="center"/>
              <w:ind w:left="49"/>
              <w:spacing w:after="0" w:line="199" w:lineRule="exact"/>
              <w:rPr>
                <w:sz w:val="20"/>
                <w:szCs w:val="20"/>
                <w:color w:val="auto"/>
              </w:rPr>
            </w:pPr>
            <w:r>
              <w:rPr>
                <w:rFonts w:ascii="Arial" w:cs="Arial" w:eastAsia="Arial" w:hAnsi="Arial"/>
                <w:sz w:val="18"/>
                <w:szCs w:val="18"/>
                <w:color w:val="auto"/>
              </w:rPr>
              <w:t>184%</w:t>
            </w:r>
          </w:p>
        </w:tc>
        <w:tc>
          <w:tcPr>
            <w:tcW w:w="1620" w:type="dxa"/>
            <w:vAlign w:val="bottom"/>
            <w:shd w:val="clear" w:color="auto" w:fill="C3D5EE"/>
          </w:tcPr>
          <w:p>
            <w:pPr>
              <w:jc w:val="right"/>
              <w:ind w:right="209"/>
              <w:spacing w:after="0" w:line="199" w:lineRule="exact"/>
              <w:rPr>
                <w:sz w:val="20"/>
                <w:szCs w:val="20"/>
                <w:color w:val="auto"/>
              </w:rPr>
            </w:pPr>
            <w:r>
              <w:rPr>
                <w:rFonts w:ascii="Arial" w:cs="Arial" w:eastAsia="Arial" w:hAnsi="Arial"/>
                <w:sz w:val="18"/>
                <w:szCs w:val="18"/>
                <w:color w:val="auto"/>
              </w:rPr>
              <w:t>2,300</w:t>
            </w:r>
          </w:p>
        </w:tc>
        <w:tc>
          <w:tcPr>
            <w:tcW w:w="20" w:type="dxa"/>
            <w:vAlign w:val="bottom"/>
            <w:shd w:val="clear" w:color="auto" w:fill="E7E6E6"/>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180" w:type="dxa"/>
            <w:vAlign w:val="bottom"/>
          </w:tcPr>
          <w:p>
            <w:pPr>
              <w:ind w:left="80"/>
              <w:spacing w:after="0" w:line="199" w:lineRule="exact"/>
              <w:rPr>
                <w:sz w:val="20"/>
                <w:szCs w:val="20"/>
                <w:color w:val="auto"/>
              </w:rPr>
            </w:pPr>
            <w:r>
              <w:rPr>
                <w:rFonts w:ascii="Arial" w:cs="Arial" w:eastAsia="Arial" w:hAnsi="Arial"/>
                <w:sz w:val="18"/>
                <w:szCs w:val="18"/>
                <w:b w:val="1"/>
                <w:bCs w:val="1"/>
                <w:color w:val="auto"/>
              </w:rPr>
              <w:t>Robert L. Seelig</w:t>
            </w:r>
          </w:p>
        </w:tc>
        <w:tc>
          <w:tcPr>
            <w:tcW w:w="1700" w:type="dxa"/>
            <w:vAlign w:val="bottom"/>
          </w:tcPr>
          <w:p>
            <w:pPr>
              <w:jc w:val="right"/>
              <w:ind w:right="9"/>
              <w:spacing w:after="0" w:line="199" w:lineRule="exact"/>
              <w:rPr>
                <w:sz w:val="20"/>
                <w:szCs w:val="20"/>
                <w:color w:val="auto"/>
              </w:rPr>
            </w:pPr>
            <w:r>
              <w:rPr>
                <w:rFonts w:ascii="Arial" w:cs="Arial" w:eastAsia="Arial" w:hAnsi="Arial"/>
                <w:sz w:val="18"/>
                <w:szCs w:val="18"/>
                <w:color w:val="auto"/>
              </w:rPr>
              <w:t>1,000</w:t>
            </w:r>
          </w:p>
        </w:tc>
        <w:tc>
          <w:tcPr>
            <w:tcW w:w="2700" w:type="dxa"/>
            <w:vAlign w:val="bottom"/>
          </w:tcPr>
          <w:p>
            <w:pPr>
              <w:jc w:val="center"/>
              <w:spacing w:after="0" w:line="199" w:lineRule="exact"/>
              <w:rPr>
                <w:sz w:val="20"/>
                <w:szCs w:val="20"/>
                <w:color w:val="auto"/>
              </w:rPr>
            </w:pPr>
            <w:r>
              <w:rPr>
                <w:rFonts w:ascii="Arial" w:cs="Arial" w:eastAsia="Arial" w:hAnsi="Arial"/>
                <w:sz w:val="18"/>
                <w:szCs w:val="18"/>
                <w:color w:val="auto"/>
                <w:w w:val="99"/>
              </w:rPr>
              <w:t>6% - 11% - 16%</w:t>
            </w:r>
          </w:p>
        </w:tc>
        <w:tc>
          <w:tcPr>
            <w:tcW w:w="1540" w:type="dxa"/>
            <w:vAlign w:val="bottom"/>
          </w:tcPr>
          <w:p>
            <w:pPr>
              <w:jc w:val="center"/>
              <w:spacing w:after="0" w:line="199" w:lineRule="exact"/>
              <w:rPr>
                <w:sz w:val="20"/>
                <w:szCs w:val="20"/>
                <w:color w:val="auto"/>
              </w:rPr>
            </w:pPr>
            <w:r>
              <w:rPr>
                <w:rFonts w:ascii="Arial" w:cs="Arial" w:eastAsia="Arial" w:hAnsi="Arial"/>
                <w:sz w:val="18"/>
                <w:szCs w:val="18"/>
                <w:color w:val="auto"/>
              </w:rPr>
              <w:t>15.2%</w:t>
            </w:r>
          </w:p>
        </w:tc>
        <w:tc>
          <w:tcPr>
            <w:tcW w:w="1500" w:type="dxa"/>
            <w:vAlign w:val="bottom"/>
          </w:tcPr>
          <w:p>
            <w:pPr>
              <w:jc w:val="center"/>
              <w:ind w:left="49"/>
              <w:spacing w:after="0" w:line="199" w:lineRule="exact"/>
              <w:rPr>
                <w:sz w:val="20"/>
                <w:szCs w:val="20"/>
                <w:color w:val="auto"/>
              </w:rPr>
            </w:pPr>
            <w:r>
              <w:rPr>
                <w:rFonts w:ascii="Arial" w:cs="Arial" w:eastAsia="Arial" w:hAnsi="Arial"/>
                <w:sz w:val="18"/>
                <w:szCs w:val="18"/>
                <w:color w:val="auto"/>
              </w:rPr>
              <w:t>184%</w:t>
            </w:r>
          </w:p>
        </w:tc>
        <w:tc>
          <w:tcPr>
            <w:tcW w:w="1620" w:type="dxa"/>
            <w:vAlign w:val="bottom"/>
          </w:tcPr>
          <w:p>
            <w:pPr>
              <w:jc w:val="right"/>
              <w:ind w:right="229"/>
              <w:spacing w:after="0" w:line="199" w:lineRule="exact"/>
              <w:rPr>
                <w:sz w:val="20"/>
                <w:szCs w:val="20"/>
                <w:color w:val="auto"/>
              </w:rPr>
            </w:pPr>
            <w:r>
              <w:rPr>
                <w:rFonts w:ascii="Arial" w:cs="Arial" w:eastAsia="Arial" w:hAnsi="Arial"/>
                <w:sz w:val="18"/>
                <w:szCs w:val="18"/>
                <w:color w:val="auto"/>
              </w:rPr>
              <w:t>1,840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180" w:type="dxa"/>
            <w:vAlign w:val="bottom"/>
            <w:shd w:val="clear" w:color="auto" w:fill="C3D5EE"/>
          </w:tcPr>
          <w:p>
            <w:pPr>
              <w:ind w:left="80"/>
              <w:spacing w:after="0" w:line="199" w:lineRule="exact"/>
              <w:rPr>
                <w:sz w:val="20"/>
                <w:szCs w:val="20"/>
                <w:color w:val="auto"/>
              </w:rPr>
            </w:pPr>
            <w:r>
              <w:rPr>
                <w:rFonts w:ascii="Arial" w:cs="Arial" w:eastAsia="Arial" w:hAnsi="Arial"/>
                <w:sz w:val="18"/>
                <w:szCs w:val="18"/>
                <w:b w:val="1"/>
                <w:bCs w:val="1"/>
                <w:color w:val="auto"/>
              </w:rPr>
              <w:t>Michaela J. Hildreth</w:t>
            </w:r>
          </w:p>
        </w:tc>
        <w:tc>
          <w:tcPr>
            <w:tcW w:w="1700" w:type="dxa"/>
            <w:vAlign w:val="bottom"/>
            <w:tcBorders>
              <w:right w:val="single" w:sz="8" w:color="C3D5EE"/>
            </w:tcBorders>
            <w:shd w:val="clear" w:color="auto" w:fill="C3D5EE"/>
          </w:tcPr>
          <w:p>
            <w:pPr>
              <w:jc w:val="right"/>
              <w:ind w:right="9"/>
              <w:spacing w:after="0" w:line="199" w:lineRule="exact"/>
              <w:rPr>
                <w:sz w:val="20"/>
                <w:szCs w:val="20"/>
                <w:color w:val="auto"/>
              </w:rPr>
            </w:pPr>
            <w:r>
              <w:rPr>
                <w:rFonts w:ascii="Arial" w:cs="Arial" w:eastAsia="Arial" w:hAnsi="Arial"/>
                <w:sz w:val="18"/>
                <w:szCs w:val="18"/>
                <w:color w:val="auto"/>
              </w:rPr>
              <w:t>600</w:t>
            </w:r>
          </w:p>
        </w:tc>
        <w:tc>
          <w:tcPr>
            <w:tcW w:w="2700" w:type="dxa"/>
            <w:vAlign w:val="bottom"/>
            <w:shd w:val="clear" w:color="auto" w:fill="C3D5EE"/>
          </w:tcPr>
          <w:p>
            <w:pPr>
              <w:jc w:val="center"/>
              <w:spacing w:after="0" w:line="199" w:lineRule="exact"/>
              <w:rPr>
                <w:sz w:val="20"/>
                <w:szCs w:val="20"/>
                <w:color w:val="auto"/>
              </w:rPr>
            </w:pPr>
            <w:r>
              <w:rPr>
                <w:rFonts w:ascii="Arial" w:cs="Arial" w:eastAsia="Arial" w:hAnsi="Arial"/>
                <w:sz w:val="18"/>
                <w:szCs w:val="18"/>
                <w:color w:val="auto"/>
                <w:w w:val="99"/>
              </w:rPr>
              <w:t>6% - 11% - 16%</w:t>
            </w:r>
          </w:p>
        </w:tc>
        <w:tc>
          <w:tcPr>
            <w:tcW w:w="1540" w:type="dxa"/>
            <w:vAlign w:val="bottom"/>
            <w:shd w:val="clear" w:color="auto" w:fill="C3D5EE"/>
          </w:tcPr>
          <w:p>
            <w:pPr>
              <w:jc w:val="center"/>
              <w:spacing w:after="0" w:line="199" w:lineRule="exact"/>
              <w:rPr>
                <w:sz w:val="20"/>
                <w:szCs w:val="20"/>
                <w:color w:val="auto"/>
              </w:rPr>
            </w:pPr>
            <w:r>
              <w:rPr>
                <w:rFonts w:ascii="Arial" w:cs="Arial" w:eastAsia="Arial" w:hAnsi="Arial"/>
                <w:sz w:val="18"/>
                <w:szCs w:val="18"/>
                <w:color w:val="auto"/>
              </w:rPr>
              <w:t>15.2%</w:t>
            </w:r>
          </w:p>
        </w:tc>
        <w:tc>
          <w:tcPr>
            <w:tcW w:w="1500" w:type="dxa"/>
            <w:vAlign w:val="bottom"/>
            <w:shd w:val="clear" w:color="auto" w:fill="C3D5EE"/>
          </w:tcPr>
          <w:p>
            <w:pPr>
              <w:jc w:val="center"/>
              <w:ind w:left="49"/>
              <w:spacing w:after="0" w:line="199" w:lineRule="exact"/>
              <w:rPr>
                <w:sz w:val="20"/>
                <w:szCs w:val="20"/>
                <w:color w:val="auto"/>
              </w:rPr>
            </w:pPr>
            <w:r>
              <w:rPr>
                <w:rFonts w:ascii="Arial" w:cs="Arial" w:eastAsia="Arial" w:hAnsi="Arial"/>
                <w:sz w:val="18"/>
                <w:szCs w:val="18"/>
                <w:color w:val="auto"/>
              </w:rPr>
              <w:t>184%</w:t>
            </w:r>
          </w:p>
        </w:tc>
        <w:tc>
          <w:tcPr>
            <w:tcW w:w="1620" w:type="dxa"/>
            <w:vAlign w:val="bottom"/>
            <w:shd w:val="clear" w:color="auto" w:fill="C3D5EE"/>
          </w:tcPr>
          <w:p>
            <w:pPr>
              <w:jc w:val="right"/>
              <w:ind w:right="209"/>
              <w:spacing w:after="0" w:line="199" w:lineRule="exact"/>
              <w:rPr>
                <w:sz w:val="20"/>
                <w:szCs w:val="20"/>
                <w:color w:val="auto"/>
              </w:rPr>
            </w:pPr>
            <w:r>
              <w:rPr>
                <w:rFonts w:ascii="Arial" w:cs="Arial" w:eastAsia="Arial" w:hAnsi="Arial"/>
                <w:sz w:val="18"/>
                <w:szCs w:val="18"/>
                <w:color w:val="auto"/>
              </w:rPr>
              <w:t>1,104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7"/>
          <w:szCs w:val="17"/>
          <w:color w:val="auto"/>
        </w:rPr>
        <w:t>Note: Mr. Harrison joined the Company on June 10, 2024 and therefore did not receive a 2023-2025 performance share grant.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Compensation Actions</w:t>
      </w:r>
    </w:p>
    <w:p>
      <w:pPr>
        <w:spacing w:after="0" w:line="189" w:lineRule="exact"/>
        <w:rPr>
          <w:sz w:val="20"/>
          <w:szCs w:val="20"/>
          <w:color w:val="auto"/>
        </w:rPr>
      </w:pPr>
    </w:p>
    <w:p>
      <w:pPr>
        <w:ind w:right="240" w:firstLine="299"/>
        <w:spacing w:after="0" w:line="237" w:lineRule="auto"/>
        <w:rPr>
          <w:sz w:val="20"/>
          <w:szCs w:val="20"/>
          <w:color w:val="auto"/>
        </w:rPr>
      </w:pPr>
      <w:r>
        <w:rPr>
          <w:rFonts w:ascii="Arial" w:cs="Arial" w:eastAsia="Arial" w:hAnsi="Arial"/>
          <w:sz w:val="18"/>
          <w:szCs w:val="18"/>
          <w:i w:val="1"/>
          <w:iCs w:val="1"/>
          <w:u w:val="single" w:color="auto"/>
          <w:color w:val="auto"/>
        </w:rPr>
        <w:t>2026 Annual Target Cash Compensation</w:t>
      </w:r>
      <w:r>
        <w:rPr>
          <w:rFonts w:ascii="Arial" w:cs="Arial" w:eastAsia="Arial" w:hAnsi="Arial"/>
          <w:sz w:val="18"/>
          <w:szCs w:val="18"/>
          <w:color w:val="auto"/>
        </w:rPr>
        <w:t>: Base salaries continue to be capped at $600,000 for NEOs, with target bonus opportunities</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unchanged at 100% of salary in 2026. Mr. Papamichael’s 2026 salary was set at $550,000 following his promotion to CFO on January 1, 2026. Mr. Rountree, who transitioned from CEO to Senior Advisor on January 1, 2026, is no longer an executive officer of the Company. The CNG Committee believes the 2026 salary and bonus target levels for executive officers remain below general market practice and continue to reflect the CNG Committee’s long-standing philosophy of linking a vast majority of executives’ compensation to long-term incentives in order to align their interests with those of our shareholders, as opposed to awarding high levels of fixed cash compensation.</w:t>
      </w:r>
    </w:p>
    <w:p>
      <w:pPr>
        <w:spacing w:after="0" w:line="162" w:lineRule="exact"/>
        <w:rPr>
          <w:sz w:val="20"/>
          <w:szCs w:val="20"/>
          <w:color w:val="auto"/>
        </w:rPr>
      </w:pPr>
    </w:p>
    <w:p>
      <w:pPr>
        <w:ind w:right="380" w:firstLine="299"/>
        <w:spacing w:after="0"/>
        <w:rPr>
          <w:sz w:val="20"/>
          <w:szCs w:val="20"/>
          <w:color w:val="auto"/>
        </w:rPr>
      </w:pPr>
      <w:r>
        <w:rPr>
          <w:rFonts w:ascii="Arial" w:cs="Arial" w:eastAsia="Arial" w:hAnsi="Arial"/>
          <w:sz w:val="18"/>
          <w:szCs w:val="18"/>
          <w:color w:val="auto"/>
        </w:rPr>
        <w:t xml:space="preserve">For many years, the Company’s return target has been 700 basis points over the yield on the 10-year Treasury. Absent unusual circumstances, the CNG Committee has set the target level for the annual bonus plan at this level. The design of our executive officers’ 2026 annual bonus plan will be the same as the plan in effect for 2025, </w:t>
      </w:r>
      <w:r>
        <w:rPr>
          <w:rFonts w:ascii="Arial" w:cs="Arial" w:eastAsia="Arial" w:hAnsi="Arial"/>
          <w:sz w:val="18"/>
          <w:szCs w:val="18"/>
          <w:b w:val="1"/>
          <w:bCs w:val="1"/>
          <w:color w:val="auto"/>
        </w:rPr>
        <w:t>with payouts tied to annual growth in CVPS and a harvest</w:t>
      </w:r>
      <w:r>
        <w:rPr>
          <w:rFonts w:ascii="Arial" w:cs="Arial" w:eastAsia="Arial" w:hAnsi="Arial"/>
          <w:sz w:val="18"/>
          <w:szCs w:val="18"/>
          <w:color w:val="auto"/>
        </w:rPr>
        <w:t xml:space="preserve"> </w:t>
      </w:r>
      <w:r>
        <w:rPr>
          <w:rFonts w:ascii="Arial" w:cs="Arial" w:eastAsia="Arial" w:hAnsi="Arial"/>
          <w:sz w:val="18"/>
          <w:szCs w:val="18"/>
          <w:b w:val="1"/>
          <w:bCs w:val="1"/>
          <w:color w:val="auto"/>
        </w:rPr>
        <w:t>scale of 6%-11%-16% for threshold / target / maximum payout levels</w:t>
      </w:r>
      <w:r>
        <w:rPr>
          <w:rFonts w:ascii="Arial" w:cs="Arial" w:eastAsia="Arial" w:hAnsi="Arial"/>
          <w:sz w:val="18"/>
          <w:szCs w:val="18"/>
          <w:color w:val="auto"/>
        </w:rPr>
        <w:t>. The CNG Committee determined that 11% annual growth in</w:t>
      </w:r>
      <w:r>
        <w:rPr>
          <w:rFonts w:ascii="Arial" w:cs="Arial" w:eastAsia="Arial" w:hAnsi="Arial"/>
          <w:sz w:val="18"/>
          <w:szCs w:val="18"/>
          <w:b w:val="1"/>
          <w:bCs w:val="1"/>
          <w:color w:val="auto"/>
        </w:rPr>
        <w:t xml:space="preserve"> </w:t>
      </w:r>
      <w:r>
        <w:rPr>
          <w:rFonts w:ascii="Arial" w:cs="Arial" w:eastAsia="Arial" w:hAnsi="Arial"/>
          <w:sz w:val="18"/>
          <w:szCs w:val="18"/>
          <w:color w:val="auto"/>
        </w:rPr>
        <w:t>CVPS is an appropriately challenging target for the annual bonus plan and is in line with the Company’s return target.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60"/>
          </w:cols>
          <w:pgMar w:left="320" w:top="1014" w:right="319" w:bottom="1440" w:gutter="0" w:footer="0" w:header="0"/>
        </w:sectPr>
      </w:pPr>
    </w:p>
    <w:bookmarkStart w:id="43" w:name="page44"/>
    <w:bookmarkEnd w:id="43"/>
    <w:p>
      <w:pPr>
        <w:ind w:right="40" w:firstLine="299"/>
        <w:spacing w:after="0"/>
        <w:rPr>
          <w:sz w:val="20"/>
          <w:szCs w:val="20"/>
          <w:color w:val="auto"/>
        </w:rPr>
      </w:pPr>
      <w:r>
        <w:rPr>
          <w:rFonts w:ascii="Arial" w:cs="Arial" w:eastAsia="Arial" w:hAnsi="Arial"/>
          <w:sz w:val="18"/>
          <w:szCs w:val="18"/>
          <w:i w:val="1"/>
          <w:iCs w:val="1"/>
          <w:u w:val="single" w:color="auto"/>
          <w:color w:val="auto"/>
        </w:rPr>
        <w:t>2026 Long-term Incentive Grants</w:t>
      </w:r>
      <w:r>
        <w:rPr>
          <w:rFonts w:ascii="Arial" w:cs="Arial" w:eastAsia="Arial" w:hAnsi="Arial"/>
          <w:sz w:val="18"/>
          <w:szCs w:val="18"/>
          <w:color w:val="auto"/>
        </w:rPr>
        <w:t>: In February 2026, the CNG Committee made new long-term incentive grants to the NEOs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factors described above with respect to grants made in 2025 and allocated 50% as performance shares and 50% as restricted shares. With respect to the total grants made to employees across the Company, the CNG Committee granted 19,230 target shares for the 2026-2028 performance cycle, which represents a 10% decrease, year-over-year, in the number of shares granted. These grants totaled approximately 0.8% of the then outstanding shares.</w:t>
      </w:r>
    </w:p>
    <w:p>
      <w:pPr>
        <w:spacing w:after="0" w:line="160" w:lineRule="exact"/>
        <w:rPr>
          <w:sz w:val="20"/>
          <w:szCs w:val="20"/>
          <w:color w:val="auto"/>
        </w:rPr>
      </w:pPr>
    </w:p>
    <w:p>
      <w:pPr>
        <w:ind w:right="40" w:firstLine="299"/>
        <w:spacing w:after="0"/>
        <w:rPr>
          <w:sz w:val="20"/>
          <w:szCs w:val="20"/>
          <w:color w:val="auto"/>
        </w:rPr>
      </w:pPr>
      <w:r>
        <w:rPr>
          <w:rFonts w:ascii="Arial" w:cs="Arial" w:eastAsia="Arial" w:hAnsi="Arial"/>
          <w:sz w:val="18"/>
          <w:szCs w:val="18"/>
          <w:color w:val="auto"/>
        </w:rPr>
        <w:t>The CNG Committee set a performance target of 11% annual growth in CVPS for the 2026-2028 performance cycle. This target level is consistent with the CNG Committee’s typical practice of setting the target in line with the Company’s return target of 700 basis points over the 10-year Treasury yield. In setting the performance scale, the CNG Committee’s goal was to set a performance target that was reasonable, but with an appropriate degree of stretch, for a payout of 100% of the target performance shares. Annual growth of 6% or less would result in no payout, and annual growth of 16% or more would result in a payout of 200%.</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252"/>
        </w:trPr>
        <w:tc>
          <w:tcPr>
            <w:tcW w:w="2740" w:type="dxa"/>
            <w:vAlign w:val="bottom"/>
            <w:tcBorders>
              <w:right w:val="single" w:sz="8" w:color="E7E6E6"/>
            </w:tcBorders>
            <w:vMerge w:val="restart"/>
            <w:shd w:val="clear" w:color="auto" w:fill="002060"/>
          </w:tcPr>
          <w:p>
            <w:pPr>
              <w:jc w:val="center"/>
              <w:spacing w:after="0"/>
              <w:rPr>
                <w:sz w:val="20"/>
                <w:szCs w:val="20"/>
                <w:color w:val="auto"/>
              </w:rPr>
            </w:pPr>
            <w:r>
              <w:rPr>
                <w:rFonts w:ascii="Arial" w:cs="Arial" w:eastAsia="Arial" w:hAnsi="Arial"/>
                <w:sz w:val="18"/>
                <w:szCs w:val="18"/>
                <w:b w:val="1"/>
                <w:bCs w:val="1"/>
                <w:color w:val="FFFFFF"/>
              </w:rPr>
              <w:t>Performance Cycle</w:t>
            </w:r>
          </w:p>
        </w:tc>
        <w:tc>
          <w:tcPr>
            <w:tcW w:w="1940" w:type="dxa"/>
            <w:vAlign w:val="bottom"/>
            <w:tcBorders>
              <w:right w:val="single" w:sz="8" w:color="E7E6E6"/>
            </w:tcBorders>
            <w:shd w:val="clear" w:color="auto" w:fill="002060"/>
          </w:tcPr>
          <w:p>
            <w:pPr>
              <w:jc w:val="center"/>
              <w:spacing w:after="0"/>
              <w:rPr>
                <w:sz w:val="20"/>
                <w:szCs w:val="20"/>
                <w:color w:val="auto"/>
              </w:rPr>
            </w:pPr>
            <w:r>
              <w:rPr>
                <w:rFonts w:ascii="Arial" w:cs="Arial" w:eastAsia="Arial" w:hAnsi="Arial"/>
                <w:sz w:val="18"/>
                <w:szCs w:val="18"/>
                <w:b w:val="1"/>
                <w:bCs w:val="1"/>
                <w:color w:val="FFFFFF"/>
                <w:w w:val="99"/>
              </w:rPr>
              <w:t>Target Shares</w:t>
            </w:r>
          </w:p>
        </w:tc>
        <w:tc>
          <w:tcPr>
            <w:tcW w:w="2220" w:type="dxa"/>
            <w:vAlign w:val="bottom"/>
            <w:tcBorders>
              <w:right w:val="single" w:sz="8" w:color="E7E6E6"/>
            </w:tcBorders>
            <w:shd w:val="clear" w:color="auto" w:fill="002060"/>
          </w:tcPr>
          <w:p>
            <w:pPr>
              <w:jc w:val="center"/>
              <w:ind w:right="9"/>
              <w:spacing w:after="0"/>
              <w:rPr>
                <w:sz w:val="20"/>
                <w:szCs w:val="20"/>
                <w:color w:val="auto"/>
              </w:rPr>
            </w:pPr>
            <w:r>
              <w:rPr>
                <w:rFonts w:ascii="Arial" w:cs="Arial" w:eastAsia="Arial" w:hAnsi="Arial"/>
                <w:sz w:val="18"/>
                <w:szCs w:val="18"/>
                <w:b w:val="1"/>
                <w:bCs w:val="1"/>
                <w:color w:val="FFFFFF"/>
                <w:w w:val="99"/>
              </w:rPr>
              <w:t>% Change from</w:t>
            </w:r>
          </w:p>
        </w:tc>
        <w:tc>
          <w:tcPr>
            <w:tcW w:w="3200" w:type="dxa"/>
            <w:vAlign w:val="bottom"/>
            <w:shd w:val="clear" w:color="auto" w:fill="002060"/>
          </w:tcPr>
          <w:p>
            <w:pPr>
              <w:jc w:val="center"/>
              <w:spacing w:after="0"/>
              <w:rPr>
                <w:sz w:val="20"/>
                <w:szCs w:val="20"/>
                <w:color w:val="auto"/>
              </w:rPr>
            </w:pPr>
            <w:r>
              <w:rPr>
                <w:rFonts w:ascii="Arial" w:cs="Arial" w:eastAsia="Arial" w:hAnsi="Arial"/>
                <w:sz w:val="18"/>
                <w:szCs w:val="18"/>
                <w:b w:val="1"/>
                <w:bCs w:val="1"/>
                <w:color w:val="FFFFFF"/>
                <w:w w:val="99"/>
              </w:rPr>
              <w:t>Performance Target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Borders>
              <w:right w:val="single" w:sz="8" w:color="E7E6E6"/>
            </w:tcBorders>
            <w:vMerge w:val="continue"/>
            <w:shd w:val="clear" w:color="auto" w:fill="002060"/>
          </w:tcPr>
          <w:p>
            <w:pPr>
              <w:spacing w:after="0"/>
              <w:rPr>
                <w:sz w:val="19"/>
                <w:szCs w:val="19"/>
                <w:color w:val="auto"/>
              </w:rPr>
            </w:pPr>
          </w:p>
        </w:tc>
        <w:tc>
          <w:tcPr>
            <w:tcW w:w="1940" w:type="dxa"/>
            <w:vAlign w:val="bottom"/>
            <w:tcBorders>
              <w:right w:val="single" w:sz="8" w:color="E7E6E6"/>
            </w:tcBorders>
            <w:shd w:val="clear" w:color="auto" w:fill="002060"/>
          </w:tcPr>
          <w:p>
            <w:pPr>
              <w:jc w:val="center"/>
              <w:spacing w:after="0"/>
              <w:rPr>
                <w:sz w:val="20"/>
                <w:szCs w:val="20"/>
                <w:color w:val="auto"/>
              </w:rPr>
            </w:pPr>
            <w:r>
              <w:rPr>
                <w:rFonts w:ascii="Arial" w:cs="Arial" w:eastAsia="Arial" w:hAnsi="Arial"/>
                <w:sz w:val="18"/>
                <w:szCs w:val="18"/>
                <w:b w:val="1"/>
                <w:bCs w:val="1"/>
                <w:color w:val="FFFFFF"/>
              </w:rPr>
              <w:t>Granted</w:t>
            </w:r>
          </w:p>
        </w:tc>
        <w:tc>
          <w:tcPr>
            <w:tcW w:w="2220" w:type="dxa"/>
            <w:vAlign w:val="bottom"/>
            <w:tcBorders>
              <w:right w:val="single" w:sz="8" w:color="E7E6E6"/>
            </w:tcBorders>
            <w:shd w:val="clear" w:color="auto" w:fill="002060"/>
          </w:tcPr>
          <w:p>
            <w:pPr>
              <w:jc w:val="center"/>
              <w:spacing w:after="0"/>
              <w:rPr>
                <w:sz w:val="20"/>
                <w:szCs w:val="20"/>
                <w:color w:val="auto"/>
              </w:rPr>
            </w:pPr>
            <w:r>
              <w:rPr>
                <w:rFonts w:ascii="Arial" w:cs="Arial" w:eastAsia="Arial" w:hAnsi="Arial"/>
                <w:sz w:val="18"/>
                <w:szCs w:val="18"/>
                <w:b w:val="1"/>
                <w:bCs w:val="1"/>
                <w:color w:val="FFFFFF"/>
                <w:w w:val="99"/>
              </w:rPr>
              <w:t>Prior Year</w:t>
            </w:r>
          </w:p>
        </w:tc>
        <w:tc>
          <w:tcPr>
            <w:tcW w:w="3200" w:type="dxa"/>
            <w:vAlign w:val="bottom"/>
            <w:shd w:val="clear" w:color="auto" w:fill="002060"/>
          </w:tcPr>
          <w:p>
            <w:pPr>
              <w:jc w:val="center"/>
              <w:spacing w:after="0"/>
              <w:rPr>
                <w:sz w:val="20"/>
                <w:szCs w:val="20"/>
                <w:color w:val="auto"/>
              </w:rPr>
            </w:pPr>
            <w:r>
              <w:rPr>
                <w:rFonts w:ascii="Arial" w:cs="Arial" w:eastAsia="Arial" w:hAnsi="Arial"/>
                <w:sz w:val="18"/>
                <w:szCs w:val="18"/>
                <w:b w:val="1"/>
                <w:bCs w:val="1"/>
                <w:color w:val="FFFFFF"/>
              </w:rPr>
              <w:t>(min / target / max)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740" w:type="dxa"/>
            <w:vAlign w:val="bottom"/>
            <w:tcBorders>
              <w:right w:val="single" w:sz="8" w:color="E7E6E6"/>
            </w:tcBorders>
          </w:tcPr>
          <w:p>
            <w:pPr>
              <w:jc w:val="center"/>
              <w:spacing w:after="0" w:line="199" w:lineRule="exact"/>
              <w:rPr>
                <w:sz w:val="20"/>
                <w:szCs w:val="20"/>
                <w:color w:val="auto"/>
              </w:rPr>
            </w:pPr>
            <w:r>
              <w:rPr>
                <w:rFonts w:ascii="Arial" w:cs="Arial" w:eastAsia="Arial" w:hAnsi="Arial"/>
                <w:sz w:val="18"/>
                <w:szCs w:val="18"/>
                <w:color w:val="auto"/>
              </w:rPr>
              <w:t>2026 - 2028</w:t>
            </w:r>
          </w:p>
        </w:tc>
        <w:tc>
          <w:tcPr>
            <w:tcW w:w="1940" w:type="dxa"/>
            <w:vAlign w:val="bottom"/>
            <w:tcBorders>
              <w:right w:val="single" w:sz="8" w:color="E7E6E6"/>
            </w:tcBorders>
          </w:tcPr>
          <w:p>
            <w:pPr>
              <w:jc w:val="center"/>
              <w:spacing w:after="0" w:line="199" w:lineRule="exact"/>
              <w:rPr>
                <w:sz w:val="20"/>
                <w:szCs w:val="20"/>
                <w:color w:val="auto"/>
              </w:rPr>
            </w:pPr>
            <w:r>
              <w:rPr>
                <w:rFonts w:ascii="Arial" w:cs="Arial" w:eastAsia="Arial" w:hAnsi="Arial"/>
                <w:sz w:val="18"/>
                <w:szCs w:val="18"/>
                <w:color w:val="auto"/>
              </w:rPr>
              <w:t>19,230</w:t>
            </w:r>
          </w:p>
        </w:tc>
        <w:tc>
          <w:tcPr>
            <w:tcW w:w="2220" w:type="dxa"/>
            <w:vAlign w:val="bottom"/>
            <w:tcBorders>
              <w:right w:val="single" w:sz="8" w:color="E7E6E6"/>
            </w:tcBorders>
          </w:tcPr>
          <w:p>
            <w:pPr>
              <w:jc w:val="center"/>
              <w:spacing w:after="0" w:line="199" w:lineRule="exact"/>
              <w:rPr>
                <w:sz w:val="20"/>
                <w:szCs w:val="20"/>
                <w:color w:val="auto"/>
              </w:rPr>
            </w:pPr>
            <w:r>
              <w:rPr>
                <w:rFonts w:ascii="Arial" w:cs="Arial" w:eastAsia="Arial" w:hAnsi="Arial"/>
                <w:sz w:val="18"/>
                <w:szCs w:val="18"/>
                <w:color w:val="auto"/>
                <w:w w:val="99"/>
              </w:rPr>
              <w:t>(10%)</w:t>
            </w:r>
          </w:p>
        </w:tc>
        <w:tc>
          <w:tcPr>
            <w:tcW w:w="3200" w:type="dxa"/>
            <w:vAlign w:val="bottom"/>
          </w:tcPr>
          <w:p>
            <w:pPr>
              <w:jc w:val="center"/>
              <w:spacing w:after="0" w:line="199" w:lineRule="exact"/>
              <w:rPr>
                <w:sz w:val="20"/>
                <w:szCs w:val="20"/>
                <w:color w:val="auto"/>
              </w:rPr>
            </w:pPr>
            <w:r>
              <w:rPr>
                <w:rFonts w:ascii="Arial" w:cs="Arial" w:eastAsia="Arial" w:hAnsi="Arial"/>
                <w:sz w:val="18"/>
                <w:szCs w:val="18"/>
                <w:color w:val="auto"/>
              </w:rPr>
              <w:t>6% -11% - 16%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740" w:type="dxa"/>
            <w:vAlign w:val="bottom"/>
            <w:tcBorders>
              <w:right w:val="single" w:sz="8" w:color="E7E6E6"/>
            </w:tcBorders>
            <w:shd w:val="clear" w:color="auto" w:fill="C3D5EE"/>
          </w:tcPr>
          <w:p>
            <w:pPr>
              <w:jc w:val="center"/>
              <w:spacing w:after="0" w:line="199" w:lineRule="exact"/>
              <w:rPr>
                <w:sz w:val="20"/>
                <w:szCs w:val="20"/>
                <w:color w:val="auto"/>
              </w:rPr>
            </w:pPr>
            <w:r>
              <w:rPr>
                <w:rFonts w:ascii="Arial" w:cs="Arial" w:eastAsia="Arial" w:hAnsi="Arial"/>
                <w:sz w:val="18"/>
                <w:szCs w:val="18"/>
                <w:color w:val="auto"/>
              </w:rPr>
              <w:t>2025 - 2027</w:t>
            </w:r>
          </w:p>
        </w:tc>
        <w:tc>
          <w:tcPr>
            <w:tcW w:w="1940" w:type="dxa"/>
            <w:vAlign w:val="bottom"/>
            <w:tcBorders>
              <w:right w:val="single" w:sz="8" w:color="E7E6E6"/>
            </w:tcBorders>
            <w:shd w:val="clear" w:color="auto" w:fill="C3D5EE"/>
          </w:tcPr>
          <w:p>
            <w:pPr>
              <w:jc w:val="center"/>
              <w:spacing w:after="0" w:line="199" w:lineRule="exact"/>
              <w:rPr>
                <w:sz w:val="20"/>
                <w:szCs w:val="20"/>
                <w:color w:val="auto"/>
              </w:rPr>
            </w:pPr>
            <w:r>
              <w:rPr>
                <w:rFonts w:ascii="Arial" w:cs="Arial" w:eastAsia="Arial" w:hAnsi="Arial"/>
                <w:sz w:val="18"/>
                <w:szCs w:val="18"/>
                <w:color w:val="auto"/>
              </w:rPr>
              <w:t>21,340</w:t>
            </w:r>
          </w:p>
        </w:tc>
        <w:tc>
          <w:tcPr>
            <w:tcW w:w="2220" w:type="dxa"/>
            <w:vAlign w:val="bottom"/>
            <w:tcBorders>
              <w:right w:val="single" w:sz="8" w:color="E7E6E6"/>
            </w:tcBorders>
            <w:shd w:val="clear" w:color="auto" w:fill="C3D5EE"/>
          </w:tcPr>
          <w:p>
            <w:pPr>
              <w:jc w:val="center"/>
              <w:spacing w:after="0" w:line="199" w:lineRule="exact"/>
              <w:rPr>
                <w:sz w:val="20"/>
                <w:szCs w:val="20"/>
                <w:color w:val="auto"/>
              </w:rPr>
            </w:pPr>
            <w:r>
              <w:rPr>
                <w:rFonts w:ascii="Arial" w:cs="Arial" w:eastAsia="Arial" w:hAnsi="Arial"/>
                <w:sz w:val="18"/>
                <w:szCs w:val="18"/>
                <w:color w:val="auto"/>
                <w:w w:val="99"/>
              </w:rPr>
              <w:t>(6%)</w:t>
            </w:r>
          </w:p>
        </w:tc>
        <w:tc>
          <w:tcPr>
            <w:tcW w:w="3200" w:type="dxa"/>
            <w:vAlign w:val="bottom"/>
            <w:shd w:val="clear" w:color="auto" w:fill="C3D5EE"/>
          </w:tcPr>
          <w:p>
            <w:pPr>
              <w:jc w:val="center"/>
              <w:spacing w:after="0" w:line="199" w:lineRule="exact"/>
              <w:rPr>
                <w:sz w:val="20"/>
                <w:szCs w:val="20"/>
                <w:color w:val="auto"/>
              </w:rPr>
            </w:pPr>
            <w:r>
              <w:rPr>
                <w:rFonts w:ascii="Arial" w:cs="Arial" w:eastAsia="Arial" w:hAnsi="Arial"/>
                <w:sz w:val="18"/>
                <w:szCs w:val="18"/>
                <w:color w:val="auto"/>
              </w:rPr>
              <w:t>6% -11.5% - 17%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740" w:type="dxa"/>
            <w:vAlign w:val="bottom"/>
            <w:tcBorders>
              <w:right w:val="single" w:sz="8" w:color="E7E6E6"/>
            </w:tcBorders>
          </w:tcPr>
          <w:p>
            <w:pPr>
              <w:jc w:val="center"/>
              <w:spacing w:after="0" w:line="199" w:lineRule="exact"/>
              <w:rPr>
                <w:sz w:val="20"/>
                <w:szCs w:val="20"/>
                <w:color w:val="auto"/>
              </w:rPr>
            </w:pPr>
            <w:r>
              <w:rPr>
                <w:rFonts w:ascii="Arial" w:cs="Arial" w:eastAsia="Arial" w:hAnsi="Arial"/>
                <w:sz w:val="18"/>
                <w:szCs w:val="18"/>
                <w:color w:val="auto"/>
              </w:rPr>
              <w:t>2024 - 2026</w:t>
            </w:r>
          </w:p>
        </w:tc>
        <w:tc>
          <w:tcPr>
            <w:tcW w:w="1940" w:type="dxa"/>
            <w:vAlign w:val="bottom"/>
            <w:tcBorders>
              <w:right w:val="single" w:sz="8" w:color="E7E6E6"/>
            </w:tcBorders>
          </w:tcPr>
          <w:p>
            <w:pPr>
              <w:jc w:val="center"/>
              <w:spacing w:after="0" w:line="199" w:lineRule="exact"/>
              <w:rPr>
                <w:sz w:val="20"/>
                <w:szCs w:val="20"/>
                <w:color w:val="auto"/>
              </w:rPr>
            </w:pPr>
            <w:r>
              <w:rPr>
                <w:rFonts w:ascii="Arial" w:cs="Arial" w:eastAsia="Arial" w:hAnsi="Arial"/>
                <w:sz w:val="18"/>
                <w:szCs w:val="18"/>
                <w:color w:val="auto"/>
              </w:rPr>
              <w:t>22,810</w:t>
            </w:r>
          </w:p>
        </w:tc>
        <w:tc>
          <w:tcPr>
            <w:tcW w:w="2220" w:type="dxa"/>
            <w:vAlign w:val="bottom"/>
            <w:tcBorders>
              <w:right w:val="single" w:sz="8" w:color="E7E6E6"/>
            </w:tcBorders>
          </w:tcPr>
          <w:p>
            <w:pPr>
              <w:jc w:val="center"/>
              <w:spacing w:after="0" w:line="199" w:lineRule="exact"/>
              <w:rPr>
                <w:sz w:val="20"/>
                <w:szCs w:val="20"/>
                <w:color w:val="auto"/>
              </w:rPr>
            </w:pPr>
            <w:r>
              <w:rPr>
                <w:rFonts w:ascii="Arial" w:cs="Arial" w:eastAsia="Arial" w:hAnsi="Arial"/>
                <w:sz w:val="18"/>
                <w:szCs w:val="18"/>
                <w:color w:val="auto"/>
                <w:w w:val="99"/>
              </w:rPr>
              <w:t>5%</w:t>
            </w:r>
          </w:p>
        </w:tc>
        <w:tc>
          <w:tcPr>
            <w:tcW w:w="3200" w:type="dxa"/>
            <w:vAlign w:val="bottom"/>
          </w:tcPr>
          <w:p>
            <w:pPr>
              <w:jc w:val="center"/>
              <w:spacing w:after="0" w:line="199" w:lineRule="exact"/>
              <w:rPr>
                <w:sz w:val="20"/>
                <w:szCs w:val="20"/>
                <w:color w:val="auto"/>
              </w:rPr>
            </w:pPr>
            <w:r>
              <w:rPr>
                <w:rFonts w:ascii="Arial" w:cs="Arial" w:eastAsia="Arial" w:hAnsi="Arial"/>
                <w:sz w:val="18"/>
                <w:szCs w:val="18"/>
                <w:color w:val="auto"/>
              </w:rPr>
              <w:t>6% -11% - 16%</w:t>
            </w:r>
          </w:p>
        </w:tc>
        <w:tc>
          <w:tcPr>
            <w:tcW w:w="20" w:type="dxa"/>
            <w:vAlign w:val="bottom"/>
            <w:shd w:val="clear" w:color="auto" w:fill="E7E6E6"/>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740" w:type="dxa"/>
            <w:vAlign w:val="bottom"/>
            <w:tcBorders>
              <w:right w:val="single" w:sz="8" w:color="E7E6E6"/>
            </w:tcBorders>
            <w:shd w:val="clear" w:color="auto" w:fill="C3D5EE"/>
          </w:tcPr>
          <w:p>
            <w:pPr>
              <w:jc w:val="center"/>
              <w:spacing w:after="0" w:line="199" w:lineRule="exact"/>
              <w:rPr>
                <w:sz w:val="20"/>
                <w:szCs w:val="20"/>
                <w:color w:val="auto"/>
              </w:rPr>
            </w:pPr>
            <w:r>
              <w:rPr>
                <w:rFonts w:ascii="Arial" w:cs="Arial" w:eastAsia="Arial" w:hAnsi="Arial"/>
                <w:sz w:val="18"/>
                <w:szCs w:val="18"/>
                <w:color w:val="auto"/>
              </w:rPr>
              <w:t>2023 - 2025</w:t>
            </w:r>
          </w:p>
        </w:tc>
        <w:tc>
          <w:tcPr>
            <w:tcW w:w="1940" w:type="dxa"/>
            <w:vAlign w:val="bottom"/>
            <w:tcBorders>
              <w:right w:val="single" w:sz="8" w:color="E7E6E6"/>
            </w:tcBorders>
            <w:shd w:val="clear" w:color="auto" w:fill="C3D5EE"/>
          </w:tcPr>
          <w:p>
            <w:pPr>
              <w:jc w:val="center"/>
              <w:spacing w:after="0" w:line="199" w:lineRule="exact"/>
              <w:rPr>
                <w:sz w:val="20"/>
                <w:szCs w:val="20"/>
                <w:color w:val="auto"/>
              </w:rPr>
            </w:pPr>
            <w:r>
              <w:rPr>
                <w:rFonts w:ascii="Arial" w:cs="Arial" w:eastAsia="Arial" w:hAnsi="Arial"/>
                <w:sz w:val="18"/>
                <w:szCs w:val="18"/>
                <w:color w:val="auto"/>
              </w:rPr>
              <w:t>21,790</w:t>
            </w:r>
          </w:p>
        </w:tc>
        <w:tc>
          <w:tcPr>
            <w:tcW w:w="2220" w:type="dxa"/>
            <w:vAlign w:val="bottom"/>
            <w:tcBorders>
              <w:right w:val="single" w:sz="8" w:color="E7E6E6"/>
            </w:tcBorders>
            <w:shd w:val="clear" w:color="auto" w:fill="C3D5EE"/>
          </w:tcPr>
          <w:p>
            <w:pPr>
              <w:jc w:val="center"/>
              <w:spacing w:after="0" w:line="199" w:lineRule="exact"/>
              <w:rPr>
                <w:sz w:val="20"/>
                <w:szCs w:val="20"/>
                <w:color w:val="auto"/>
              </w:rPr>
            </w:pPr>
            <w:r>
              <w:rPr>
                <w:rFonts w:ascii="Arial" w:cs="Arial" w:eastAsia="Arial" w:hAnsi="Arial"/>
                <w:sz w:val="18"/>
                <w:szCs w:val="18"/>
                <w:color w:val="auto"/>
                <w:w w:val="99"/>
              </w:rPr>
              <w:t>(18%)</w:t>
            </w:r>
          </w:p>
        </w:tc>
        <w:tc>
          <w:tcPr>
            <w:tcW w:w="3200" w:type="dxa"/>
            <w:vAlign w:val="bottom"/>
            <w:shd w:val="clear" w:color="auto" w:fill="C3D5EE"/>
          </w:tcPr>
          <w:p>
            <w:pPr>
              <w:jc w:val="center"/>
              <w:spacing w:after="0" w:line="199" w:lineRule="exact"/>
              <w:rPr>
                <w:sz w:val="20"/>
                <w:szCs w:val="20"/>
                <w:color w:val="auto"/>
              </w:rPr>
            </w:pPr>
            <w:r>
              <w:rPr>
                <w:rFonts w:ascii="Arial" w:cs="Arial" w:eastAsia="Arial" w:hAnsi="Arial"/>
                <w:sz w:val="18"/>
                <w:szCs w:val="18"/>
                <w:color w:val="auto"/>
              </w:rPr>
              <w:t>6% -11% - 16%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740" w:type="dxa"/>
            <w:vAlign w:val="bottom"/>
            <w:tcBorders>
              <w:bottom w:val="single" w:sz="8" w:color="auto"/>
              <w:right w:val="single" w:sz="8" w:color="E7E6E6"/>
            </w:tcBorders>
          </w:tcPr>
          <w:p>
            <w:pPr>
              <w:jc w:val="center"/>
              <w:spacing w:after="0" w:line="199" w:lineRule="exact"/>
              <w:rPr>
                <w:sz w:val="20"/>
                <w:szCs w:val="20"/>
                <w:color w:val="auto"/>
              </w:rPr>
            </w:pPr>
            <w:r>
              <w:rPr>
                <w:rFonts w:ascii="Arial" w:cs="Arial" w:eastAsia="Arial" w:hAnsi="Arial"/>
                <w:sz w:val="18"/>
                <w:szCs w:val="18"/>
                <w:color w:val="auto"/>
              </w:rPr>
              <w:t>2022 - 2024</w:t>
            </w:r>
          </w:p>
        </w:tc>
        <w:tc>
          <w:tcPr>
            <w:tcW w:w="1940" w:type="dxa"/>
            <w:vAlign w:val="bottom"/>
            <w:tcBorders>
              <w:bottom w:val="single" w:sz="8" w:color="auto"/>
              <w:right w:val="single" w:sz="8" w:color="E7E6E6"/>
            </w:tcBorders>
          </w:tcPr>
          <w:p>
            <w:pPr>
              <w:jc w:val="center"/>
              <w:spacing w:after="0" w:line="199" w:lineRule="exact"/>
              <w:rPr>
                <w:sz w:val="20"/>
                <w:szCs w:val="20"/>
                <w:color w:val="auto"/>
              </w:rPr>
            </w:pPr>
            <w:r>
              <w:rPr>
                <w:rFonts w:ascii="Arial" w:cs="Arial" w:eastAsia="Arial" w:hAnsi="Arial"/>
                <w:sz w:val="18"/>
                <w:szCs w:val="18"/>
                <w:color w:val="auto"/>
              </w:rPr>
              <w:t>26,450</w:t>
            </w:r>
          </w:p>
        </w:tc>
        <w:tc>
          <w:tcPr>
            <w:tcW w:w="2220" w:type="dxa"/>
            <w:vAlign w:val="bottom"/>
            <w:tcBorders>
              <w:bottom w:val="single" w:sz="8" w:color="auto"/>
              <w:right w:val="single" w:sz="8" w:color="E7E6E6"/>
            </w:tcBorders>
          </w:tcPr>
          <w:p>
            <w:pPr>
              <w:jc w:val="center"/>
              <w:spacing w:after="0" w:line="199" w:lineRule="exact"/>
              <w:rPr>
                <w:sz w:val="20"/>
                <w:szCs w:val="20"/>
                <w:color w:val="auto"/>
              </w:rPr>
            </w:pPr>
            <w:r>
              <w:rPr>
                <w:rFonts w:ascii="Arial" w:cs="Arial" w:eastAsia="Arial" w:hAnsi="Arial"/>
                <w:sz w:val="18"/>
                <w:szCs w:val="18"/>
                <w:color w:val="auto"/>
                <w:w w:val="99"/>
              </w:rPr>
              <w:t>(2%)</w:t>
            </w:r>
          </w:p>
        </w:tc>
        <w:tc>
          <w:tcPr>
            <w:tcW w:w="3200" w:type="dxa"/>
            <w:vAlign w:val="bottom"/>
            <w:tcBorders>
              <w:bottom w:val="single" w:sz="8" w:color="auto"/>
            </w:tcBorders>
          </w:tcPr>
          <w:p>
            <w:pPr>
              <w:jc w:val="center"/>
              <w:spacing w:after="0" w:line="199" w:lineRule="exact"/>
              <w:rPr>
                <w:sz w:val="20"/>
                <w:szCs w:val="20"/>
                <w:color w:val="auto"/>
              </w:rPr>
            </w:pPr>
            <w:r>
              <w:rPr>
                <w:rFonts w:ascii="Arial" w:cs="Arial" w:eastAsia="Arial" w:hAnsi="Arial"/>
                <w:sz w:val="18"/>
                <w:szCs w:val="18"/>
                <w:color w:val="auto"/>
              </w:rPr>
              <w:t>4% - 9% - 14%</w:t>
            </w:r>
          </w:p>
        </w:tc>
        <w:tc>
          <w:tcPr>
            <w:tcW w:w="20" w:type="dxa"/>
            <w:vAlign w:val="bottom"/>
            <w:tcBorders>
              <w:bottom w:val="single" w:sz="8" w:color="E7E6E6"/>
            </w:tcBorders>
            <w:shd w:val="clear" w:color="auto" w:fill="E7E6E6"/>
          </w:tcPr>
          <w:p>
            <w:pPr>
              <w:spacing w:after="0"/>
              <w:rPr>
                <w:sz w:val="17"/>
                <w:szCs w:val="17"/>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right="420" w:firstLine="299"/>
        <w:spacing w:after="0" w:line="270" w:lineRule="auto"/>
        <w:rPr>
          <w:sz w:val="20"/>
          <w:szCs w:val="20"/>
          <w:color w:val="auto"/>
        </w:rPr>
      </w:pPr>
      <w:r>
        <w:rPr>
          <w:rFonts w:ascii="Arial" w:cs="Arial" w:eastAsia="Arial" w:hAnsi="Arial"/>
          <w:sz w:val="18"/>
          <w:szCs w:val="18"/>
          <w:color w:val="auto"/>
        </w:rPr>
        <w:t>The CNG Committee believes this target and scale properly incentivize management to manage our businesses efficiently, without taking excessive risk.</w:t>
      </w:r>
    </w:p>
    <w:p>
      <w:pPr>
        <w:spacing w:after="0" w:line="132" w:lineRule="exact"/>
        <w:rPr>
          <w:sz w:val="20"/>
          <w:szCs w:val="20"/>
          <w:color w:val="auto"/>
        </w:rPr>
      </w:pPr>
    </w:p>
    <w:p>
      <w:pPr>
        <w:ind w:firstLine="299"/>
        <w:spacing w:after="0"/>
        <w:rPr>
          <w:sz w:val="20"/>
          <w:szCs w:val="20"/>
          <w:color w:val="auto"/>
        </w:rPr>
      </w:pPr>
      <w:r>
        <w:rPr>
          <w:rFonts w:ascii="Arial" w:cs="Arial" w:eastAsia="Arial" w:hAnsi="Arial"/>
          <w:sz w:val="18"/>
          <w:szCs w:val="18"/>
          <w:i w:val="1"/>
          <w:iCs w:val="1"/>
          <w:u w:val="single" w:color="auto"/>
          <w:color w:val="auto"/>
        </w:rPr>
        <w:t>CVPS Definition Change for Calendar Years Beginning with 2025</w:t>
      </w:r>
      <w:r>
        <w:rPr>
          <w:rFonts w:ascii="Arial" w:cs="Arial" w:eastAsia="Arial" w:hAnsi="Arial"/>
          <w:sz w:val="18"/>
          <w:szCs w:val="18"/>
          <w:color w:val="auto"/>
        </w:rPr>
        <w:t>: Following the deconsolidation of BAM and the incorporation of a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adjustment in BVPS for the BAM Surplus Notes, the CNG Committee determined to replace growth in ABVPS with growth in BVPS in the calculation of CVPS for both annual bonus and performance shares for calendar years beginning with 2025. For example, for the 2024-2026 performance cycle, ABVPS growth would be used in the calculation for calendar year 2024, and BVPS growth would be used for calendar years 2025 and 2026.</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Ownership Guidelines for Executive Officers</w:t>
      </w:r>
    </w:p>
    <w:p>
      <w:pPr>
        <w:spacing w:after="0" w:line="189" w:lineRule="exact"/>
        <w:rPr>
          <w:sz w:val="20"/>
          <w:szCs w:val="20"/>
          <w:color w:val="auto"/>
        </w:rPr>
      </w:pPr>
    </w:p>
    <w:p>
      <w:pPr>
        <w:ind w:firstLine="299"/>
        <w:spacing w:after="0" w:line="238" w:lineRule="auto"/>
        <w:rPr>
          <w:sz w:val="20"/>
          <w:szCs w:val="20"/>
          <w:color w:val="auto"/>
        </w:rPr>
      </w:pPr>
      <w:r>
        <w:rPr>
          <w:rFonts w:ascii="Arial" w:cs="Arial" w:eastAsia="Arial" w:hAnsi="Arial"/>
          <w:sz w:val="18"/>
          <w:szCs w:val="18"/>
          <w:color w:val="auto"/>
        </w:rPr>
        <w:t>The CNG Committee has established share ownership guidelines for our executive officers. According to the guidelines, our CEO and EVPs are required to hold Company shares with a value of 10x salary, while other executive officers are required to hold Company shares with a value of 3x salary. Shares received upon vesting must be held until the executive has met the ownership threshold. Unvested restricted shares will count toward satisfaction of the guideline, while unvested performance shares will not count. As of December 31, 2025, all NEOs were in compliance with the guidelines with the exception of Mr. Harrison who joined the Company as of June 10, 2024. Mr. Harrison is required to hold all shares upon vesting until he meets the ownership threshold.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Clawback Policy</w:t>
      </w:r>
    </w:p>
    <w:p>
      <w:pPr>
        <w:spacing w:after="0" w:line="189" w:lineRule="exact"/>
        <w:rPr>
          <w:sz w:val="20"/>
          <w:szCs w:val="20"/>
          <w:color w:val="auto"/>
        </w:rPr>
      </w:pPr>
    </w:p>
    <w:p>
      <w:pPr>
        <w:ind w:right="280" w:firstLine="299"/>
        <w:spacing w:after="0" w:line="250" w:lineRule="auto"/>
        <w:rPr>
          <w:sz w:val="20"/>
          <w:szCs w:val="20"/>
          <w:color w:val="auto"/>
        </w:rPr>
      </w:pPr>
      <w:r>
        <w:rPr>
          <w:rFonts w:ascii="Arial" w:cs="Arial" w:eastAsia="Arial" w:hAnsi="Arial"/>
          <w:sz w:val="18"/>
          <w:szCs w:val="18"/>
          <w:color w:val="auto"/>
        </w:rPr>
        <w:t>The CNG Committee adopted a recovery policy for the Company which is applicable to performance-based compensation for the Company’s current and former executive officers and complies with NYSE rules. The policy requires the recovery of performance-based compensation in the case of an accounting restatement, without regard to fault.</w:t>
      </w:r>
    </w:p>
    <w:p>
      <w:pPr>
        <w:spacing w:after="0" w:line="150" w:lineRule="exact"/>
        <w:rPr>
          <w:sz w:val="20"/>
          <w:szCs w:val="20"/>
          <w:color w:val="auto"/>
        </w:rPr>
      </w:pPr>
    </w:p>
    <w:p>
      <w:pPr>
        <w:ind w:right="100" w:firstLine="299"/>
        <w:spacing w:after="0" w:line="238" w:lineRule="auto"/>
        <w:rPr>
          <w:sz w:val="20"/>
          <w:szCs w:val="20"/>
          <w:color w:val="auto"/>
        </w:rPr>
      </w:pPr>
      <w:r>
        <w:rPr>
          <w:rFonts w:ascii="Arial" w:cs="Arial" w:eastAsia="Arial" w:hAnsi="Arial"/>
          <w:sz w:val="18"/>
          <w:szCs w:val="18"/>
          <w:color w:val="auto"/>
        </w:rPr>
        <w:t>The Company has also adopted a clawback policy applicable to bonuses (including non-equity incentive plan compensation) and long-term incentive awards (including time-based awards). If the Company restates any financial statement included in an SEC filing as a result of an employee’s misconduct, the Board may, without prejudice to any other remedies available to the Company, seek reimbursement of any bonus or long-term incentive award received by such person that relates in whole or in part to any period for which such financial statements were restated. If the misconduct involved fraud, then in addition to other actions, the Board will mandatorily seek such reimbursement.</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20"/>
          </w:cols>
          <w:pgMar w:left="320" w:top="815"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179" w:lineRule="exact"/>
        <w:rPr>
          <w:sz w:val="20"/>
          <w:szCs w:val="20"/>
          <w:color w:val="auto"/>
        </w:rPr>
      </w:pPr>
    </w:p>
    <w:p>
      <w:pPr>
        <w:jc w:val="both"/>
        <w:ind w:right="620" w:firstLine="299"/>
        <w:spacing w:after="0" w:line="250" w:lineRule="auto"/>
        <w:rPr>
          <w:sz w:val="20"/>
          <w:szCs w:val="20"/>
          <w:color w:val="auto"/>
        </w:rPr>
      </w:pPr>
      <w:r>
        <w:rPr>
          <w:rFonts w:ascii="Arial" w:cs="Arial" w:eastAsia="Arial" w:hAnsi="Arial"/>
          <w:sz w:val="18"/>
          <w:szCs w:val="18"/>
          <w:color w:val="auto"/>
        </w:rPr>
        <w:t>We have no active U.S. defined benefit pension plans. Our employees may participate in our qualified 401(k) plans and eligible employees can participate in a qualified employee stock ownership plan. We do not provide supplemental retirement benefits to any employees in connection with these plans.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w:t>
      </w:r>
    </w:p>
    <w:p>
      <w:pPr>
        <w:spacing w:after="0" w:line="17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review the perquisites that our senior management receives. The primary perquisite is limited personal use of corporate aircraft.</w:t>
      </w:r>
    </w:p>
    <w:p>
      <w:pPr>
        <w:spacing w:after="0" w:line="191" w:lineRule="exact"/>
        <w:rPr>
          <w:sz w:val="20"/>
          <w:szCs w:val="20"/>
          <w:color w:val="auto"/>
        </w:rPr>
      </w:pPr>
    </w:p>
    <w:p>
      <w:pPr>
        <w:ind w:firstLine="299"/>
        <w:spacing w:after="0" w:line="250" w:lineRule="auto"/>
        <w:rPr>
          <w:sz w:val="20"/>
          <w:szCs w:val="20"/>
          <w:color w:val="auto"/>
        </w:rPr>
      </w:pPr>
      <w:r>
        <w:rPr>
          <w:rFonts w:ascii="Arial" w:cs="Arial" w:eastAsia="Arial" w:hAnsi="Arial"/>
          <w:sz w:val="18"/>
          <w:szCs w:val="18"/>
          <w:color w:val="auto"/>
        </w:rPr>
        <w:t>We allow our NEOs to use our corporate aircraft from time to time for personal reasons. The aggregate incremental cost to the Company is included, for proxy reporting purposes, as compensation to the NEO. For tax purposes, we comply with IRS regulations. We do not “gross-up” our NEOs for their taxes associated with perquisites, including with respect to personal use of our aircraft.</w:t>
      </w:r>
    </w:p>
    <w:p>
      <w:pPr>
        <w:spacing w:after="0" w:line="150" w:lineRule="exact"/>
        <w:rPr>
          <w:sz w:val="20"/>
          <w:szCs w:val="20"/>
          <w:color w:val="auto"/>
        </w:rPr>
      </w:pPr>
    </w:p>
    <w:p>
      <w:pPr>
        <w:ind w:right="400" w:firstLine="299"/>
        <w:spacing w:after="0" w:line="270" w:lineRule="auto"/>
        <w:rPr>
          <w:sz w:val="20"/>
          <w:szCs w:val="20"/>
          <w:color w:val="auto"/>
        </w:rPr>
      </w:pPr>
      <w:r>
        <w:rPr>
          <w:rFonts w:ascii="Arial" w:cs="Arial" w:eastAsia="Arial" w:hAnsi="Arial"/>
          <w:sz w:val="18"/>
          <w:szCs w:val="18"/>
          <w:color w:val="auto"/>
        </w:rPr>
        <w:t>Our NEOs also participate in our benefit plans on the same terms as our other employees. These plans include medical and health insurance, company paid life insurance and charitable gift matching.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Board Fees</w:t>
      </w:r>
    </w:p>
    <w:p>
      <w:pPr>
        <w:spacing w:after="0" w:line="179" w:lineRule="exact"/>
        <w:rPr>
          <w:sz w:val="20"/>
          <w:szCs w:val="20"/>
          <w:color w:val="auto"/>
        </w:rPr>
      </w:pPr>
    </w:p>
    <w:p>
      <w:pPr>
        <w:ind w:firstLine="299"/>
        <w:spacing w:after="0" w:line="250" w:lineRule="auto"/>
        <w:rPr>
          <w:sz w:val="20"/>
          <w:szCs w:val="20"/>
          <w:color w:val="auto"/>
        </w:rPr>
      </w:pPr>
      <w:r>
        <w:rPr>
          <w:rFonts w:ascii="Arial" w:cs="Arial" w:eastAsia="Arial" w:hAnsi="Arial"/>
          <w:sz w:val="18"/>
          <w:szCs w:val="18"/>
          <w:color w:val="auto"/>
        </w:rPr>
        <w:t>Our NEOs do not receive director fees for serving on the Company's board of directors or for serving on the boards of our wholly-owned or majority-owned subsidiaries. However, those NEOs who serve on the boards of other companies in which we have a minority interest may receive director fees from those companies. We consider those board fees when evaluating the compensation of our NEOs.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Compensation Arrangement for Mr. Rountree</w:t>
      </w:r>
    </w:p>
    <w:p>
      <w:pPr>
        <w:spacing w:after="0" w:line="189" w:lineRule="exact"/>
        <w:rPr>
          <w:sz w:val="20"/>
          <w:szCs w:val="20"/>
          <w:color w:val="auto"/>
        </w:rPr>
      </w:pPr>
    </w:p>
    <w:p>
      <w:pPr>
        <w:ind w:firstLine="299"/>
        <w:spacing w:after="0" w:line="241" w:lineRule="auto"/>
        <w:rPr>
          <w:sz w:val="20"/>
          <w:szCs w:val="20"/>
          <w:color w:val="auto"/>
        </w:rPr>
      </w:pPr>
      <w:r>
        <w:rPr>
          <w:rFonts w:ascii="Arial" w:cs="Arial" w:eastAsia="Arial" w:hAnsi="Arial"/>
          <w:sz w:val="18"/>
          <w:szCs w:val="18"/>
          <w:color w:val="auto"/>
        </w:rPr>
        <w:t>We typically do not enter into employment agreements with our NEOs. From time to time we have entered into short-term arrangements with (a) newly hired executives governing their compensation and severance for a period of up to their first three years with the Company or</w:t>
      </w:r>
    </w:p>
    <w:p>
      <w:pPr>
        <w:ind w:right="180"/>
        <w:spacing w:after="0" w:line="237" w:lineRule="auto"/>
        <w:tabs>
          <w:tab w:leader="none" w:pos="274"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departing executives in connection with their transition into advisory roles. On September 2, 2025, the Company announced that Mr. Rountree would retire from the Chief Executive Officer position on December 31, 2025 and become a Senior Advisor to the Company. On January 1, 2026, Mr. Rountree and White Mountains Capital (“WMC”), acting with the approval of the CNG Committee, entered into an employment agreement (the “Rountree Agreement”) relating to Mr. Rountree’s service as a Senior Advisor.</w:t>
      </w:r>
    </w:p>
    <w:p>
      <w:pPr>
        <w:spacing w:after="0" w:line="160" w:lineRule="exact"/>
        <w:rPr>
          <w:sz w:val="20"/>
          <w:szCs w:val="20"/>
          <w:color w:val="auto"/>
        </w:rPr>
      </w:pPr>
    </w:p>
    <w:p>
      <w:pPr>
        <w:ind w:right="40" w:firstLine="299"/>
        <w:spacing w:after="0" w:line="234" w:lineRule="auto"/>
        <w:rPr>
          <w:sz w:val="20"/>
          <w:szCs w:val="20"/>
          <w:color w:val="auto"/>
        </w:rPr>
      </w:pPr>
      <w:r>
        <w:rPr>
          <w:rFonts w:ascii="Arial" w:cs="Arial" w:eastAsia="Arial" w:hAnsi="Arial"/>
          <w:sz w:val="18"/>
          <w:szCs w:val="18"/>
          <w:color w:val="auto"/>
        </w:rPr>
        <w:t>Under the Rountree Agreement, Mr. Rountree will (a) be paid a base salary at the annual rate of $300,000, (b) participate in WMC’s employee benefit plans and (c) not be granted any new equity incentives during the period of the Agreement. In addition, Mr. Rountree’s existing 3,425 performance shares and 3,425 restricted shares will remain outstanding and continue to vest in accordance with their terms, except as follows. If the Company were to terminate Mr. Rountree’s employment for Cause, or if Mr. Rountree resigns voluntarily, the Company would terminate any outstanding equity incentives without any payment. If the Company were to terminate Mr. Rountree’s employment without Cause, the Company shall (i) if such termination occurs in 2026, (v) immediately accelerate the vesting of the 2024 restricted share award (“RSA”) and the 2025 RSA, (w) settle the 2024-2026 performance share award (“PSA”) at the same time and in the same amounts as if Mr. Rountree had continued employment until the normal vesting date thereof (assuming the same level of performance achievement applied to other Company executives), (x) settle the 2025-2027 PSA prior to March 15, 2027 based on the same performance achievement through the end of the Company’s 2026 fiscal year applied to other Company executives, and (ii) if such termination occurs during 2027, (x) immediately accelerate the vesting of the 2025 RSA and (y) settle the 2025-2027 PSA at the same time and in the same amounts as if Mr. Rountree had continued employment until the normal vesting date thereof (assuming the same level of performance achievement applied to other Company executives).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45" w:name="page46"/>
    <w:bookmarkEnd w:id="45"/>
    <w:p>
      <w:pPr>
        <w:ind w:left="300"/>
        <w:spacing w:after="0"/>
        <w:rPr>
          <w:sz w:val="20"/>
          <w:szCs w:val="20"/>
          <w:color w:val="auto"/>
        </w:rPr>
      </w:pPr>
      <w:r>
        <w:rPr>
          <w:rFonts w:ascii="Arial" w:cs="Arial" w:eastAsia="Arial" w:hAnsi="Arial"/>
          <w:sz w:val="18"/>
          <w:szCs w:val="18"/>
          <w:color w:val="auto"/>
        </w:rPr>
        <w:t>The Rountree Agreement also provides that Mr. Rountree will be subject to certain restrictive covenants.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Agreements; Change in Control</w:t>
      </w:r>
    </w:p>
    <w:p>
      <w:pPr>
        <w:spacing w:after="0" w:line="189" w:lineRule="exact"/>
        <w:rPr>
          <w:sz w:val="20"/>
          <w:szCs w:val="20"/>
          <w:color w:val="auto"/>
        </w:rPr>
      </w:pPr>
    </w:p>
    <w:p>
      <w:pPr>
        <w:ind w:right="800" w:firstLine="299"/>
        <w:spacing w:after="0" w:line="270" w:lineRule="auto"/>
        <w:rPr>
          <w:sz w:val="20"/>
          <w:szCs w:val="20"/>
          <w:color w:val="auto"/>
        </w:rPr>
      </w:pPr>
      <w:r>
        <w:rPr>
          <w:rFonts w:ascii="Arial" w:cs="Arial" w:eastAsia="Arial" w:hAnsi="Arial"/>
          <w:sz w:val="18"/>
          <w:szCs w:val="18"/>
          <w:color w:val="auto"/>
        </w:rPr>
        <w:t>Severance benefits, if any, for our NEOs are determined by the CNG Committee in its sole discretion. Executive officers of our operating subsidiaries participate in the severance plans, if any, generally applicable at those companies.</w:t>
      </w:r>
    </w:p>
    <w:p>
      <w:pPr>
        <w:spacing w:after="0" w:line="132" w:lineRule="exact"/>
        <w:rPr>
          <w:sz w:val="20"/>
          <w:szCs w:val="20"/>
          <w:color w:val="auto"/>
        </w:rPr>
      </w:pPr>
    </w:p>
    <w:p>
      <w:pPr>
        <w:ind w:firstLine="299"/>
        <w:spacing w:after="0" w:line="244" w:lineRule="auto"/>
        <w:rPr>
          <w:sz w:val="20"/>
          <w:szCs w:val="20"/>
          <w:color w:val="auto"/>
        </w:rPr>
      </w:pPr>
      <w:r>
        <w:rPr>
          <w:rFonts w:ascii="Arial" w:cs="Arial" w:eastAsia="Arial" w:hAnsi="Arial"/>
          <w:sz w:val="18"/>
          <w:szCs w:val="18"/>
          <w:color w:val="auto"/>
        </w:rPr>
        <w:t>If any of our most senior executives decide to retire, in order to enable the Company to ensure a smooth transition, to receive a non-compete/non-solicit from the executive and to retain access to valuable knowledge, talents and relationships, our general practice has been to enter into arrangements that would permit the executive to earn some or all of such executive’s long-term incentive compensation then outstanding.</w:t>
      </w:r>
    </w:p>
    <w:p>
      <w:pPr>
        <w:spacing w:after="0" w:line="154" w:lineRule="exact"/>
        <w:rPr>
          <w:sz w:val="20"/>
          <w:szCs w:val="20"/>
          <w:color w:val="auto"/>
        </w:rPr>
      </w:pPr>
    </w:p>
    <w:p>
      <w:pPr>
        <w:ind w:right="180" w:firstLine="299"/>
        <w:spacing w:after="0" w:line="243" w:lineRule="auto"/>
        <w:rPr>
          <w:sz w:val="20"/>
          <w:szCs w:val="20"/>
          <w:color w:val="auto"/>
        </w:rPr>
      </w:pPr>
      <w:r>
        <w:rPr>
          <w:rFonts w:ascii="Arial" w:cs="Arial" w:eastAsia="Arial" w:hAnsi="Arial"/>
          <w:sz w:val="18"/>
          <w:szCs w:val="18"/>
          <w:color w:val="auto"/>
        </w:rPr>
        <w:t>We have no standalone change in control agreements with our NEOs. However, under our long-term incentive plans, if a change in control of the Company (or a business unit, as applicable) were to occur, certain events, such as involuntary or constructive employment termination or amendments to our incentive plans which are materially adverse to its participants, may cause restricted shares to become immediately vested and performance shares and performance units to become payable in full or in part. Our plans do not provide for tax gross-ups for excess parachute payments that may result from a change in control</w:t>
      </w:r>
      <w:r>
        <w:rPr>
          <w:rFonts w:ascii="Arial" w:cs="Arial" w:eastAsia="Arial" w:hAnsi="Arial"/>
          <w:sz w:val="18"/>
          <w:szCs w:val="18"/>
          <w:b w:val="1"/>
          <w:bCs w:val="1"/>
          <w:color w:val="auto"/>
        </w:rPr>
        <w:t>.</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Compensation/Nominating &amp; Governance Committee Report</w:t>
      </w:r>
    </w:p>
    <w:p>
      <w:pPr>
        <w:spacing w:after="0" w:line="191" w:lineRule="exact"/>
        <w:rPr>
          <w:sz w:val="20"/>
          <w:szCs w:val="20"/>
          <w:color w:val="auto"/>
        </w:rPr>
      </w:pPr>
    </w:p>
    <w:p>
      <w:pPr>
        <w:ind w:right="140" w:firstLine="299"/>
        <w:spacing w:after="0" w:line="244" w:lineRule="auto"/>
        <w:rPr>
          <w:sz w:val="20"/>
          <w:szCs w:val="20"/>
          <w:color w:val="auto"/>
        </w:rPr>
      </w:pPr>
      <w:r>
        <w:rPr>
          <w:rFonts w:ascii="Arial" w:cs="Arial" w:eastAsia="Arial" w:hAnsi="Arial"/>
          <w:sz w:val="18"/>
          <w:szCs w:val="18"/>
          <w:color w:val="auto"/>
        </w:rPr>
        <w:t>The Compensation/Nominating &amp; Governance Committee of the Company has reviewed and discussed the Compensation Discussion and Analysis required by Item 402(b) of Regulation S-K with management and, based on such review and discussions, the Compensation/Nominating &amp; Governance Committee recommended to the Board that the Compensation Discussion and Analysis be included in this Proxy Statement.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Philip A. Gelston, Chair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Margaret Dillon</w:t>
      </w:r>
    </w:p>
    <w:p>
      <w:pPr>
        <w:spacing w:after="0"/>
        <w:rPr>
          <w:sz w:val="20"/>
          <w:szCs w:val="20"/>
          <w:color w:val="auto"/>
        </w:rPr>
      </w:pPr>
      <w:r>
        <w:rPr>
          <w:rFonts w:ascii="Arial" w:cs="Arial" w:eastAsia="Arial" w:hAnsi="Arial"/>
          <w:sz w:val="18"/>
          <w:szCs w:val="18"/>
          <w:color w:val="auto"/>
        </w:rPr>
        <w:t>Suzanne F. Shank</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79" w:lineRule="exact"/>
        <w:rPr>
          <w:sz w:val="20"/>
          <w:szCs w:val="20"/>
          <w:color w:val="auto"/>
        </w:rPr>
      </w:pPr>
    </w:p>
    <w:p>
      <w:pPr>
        <w:ind w:right="580" w:firstLine="299"/>
        <w:spacing w:after="0" w:line="270" w:lineRule="auto"/>
        <w:rPr>
          <w:sz w:val="20"/>
          <w:szCs w:val="20"/>
          <w:color w:val="auto"/>
        </w:rPr>
      </w:pPr>
      <w:r>
        <w:rPr>
          <w:rFonts w:ascii="Arial" w:cs="Arial" w:eastAsia="Arial" w:hAnsi="Arial"/>
          <w:sz w:val="18"/>
          <w:szCs w:val="18"/>
          <w:color w:val="auto"/>
        </w:rPr>
        <w:t>The following table presents compensation in 2025, 2024 and 2023 for the Company’s CEO, CFO and its three other most highly compensated executive officers (collectively, the “Named Executive Officers”):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2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94"/>
              <w:spacing w:after="0"/>
              <w:rPr>
                <w:sz w:val="20"/>
                <w:szCs w:val="20"/>
                <w:color w:val="auto"/>
              </w:rPr>
            </w:pPr>
            <w:r>
              <w:rPr>
                <w:rFonts w:ascii="Arial" w:cs="Arial" w:eastAsia="Arial" w:hAnsi="Arial"/>
                <w:sz w:val="13"/>
                <w:szCs w:val="13"/>
                <w:color w:val="auto"/>
              </w:rPr>
              <w:t>Change in</w:t>
            </w:r>
          </w:p>
        </w:tc>
        <w:tc>
          <w:tcPr>
            <w:tcW w:w="1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r>
      <w:tr>
        <w:trPr>
          <w:trHeight w:val="149"/>
        </w:trPr>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80" w:type="dxa"/>
            <w:vAlign w:val="bottom"/>
          </w:tcPr>
          <w:p>
            <w:pPr>
              <w:jc w:val="right"/>
              <w:ind w:right="94"/>
              <w:spacing w:after="0"/>
              <w:rPr>
                <w:sz w:val="20"/>
                <w:szCs w:val="20"/>
                <w:color w:val="auto"/>
              </w:rPr>
            </w:pPr>
            <w:r>
              <w:rPr>
                <w:rFonts w:ascii="Arial" w:cs="Arial" w:eastAsia="Arial" w:hAnsi="Arial"/>
                <w:sz w:val="13"/>
                <w:szCs w:val="13"/>
                <w:color w:val="auto"/>
              </w:rPr>
              <w:t>Pension Value</w:t>
            </w:r>
          </w:p>
        </w:tc>
        <w:tc>
          <w:tcPr>
            <w:tcW w:w="126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80" w:type="dxa"/>
            <w:vAlign w:val="bottom"/>
          </w:tcPr>
          <w:p>
            <w:pPr>
              <w:jc w:val="right"/>
              <w:ind w:right="94"/>
              <w:spacing w:after="0"/>
              <w:rPr>
                <w:sz w:val="20"/>
                <w:szCs w:val="20"/>
                <w:color w:val="auto"/>
              </w:rPr>
            </w:pPr>
            <w:r>
              <w:rPr>
                <w:rFonts w:ascii="Arial" w:cs="Arial" w:eastAsia="Arial" w:hAnsi="Arial"/>
                <w:sz w:val="13"/>
                <w:szCs w:val="13"/>
                <w:color w:val="auto"/>
              </w:rPr>
              <w:t>and</w:t>
            </w:r>
          </w:p>
        </w:tc>
        <w:tc>
          <w:tcPr>
            <w:tcW w:w="126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tcPr>
          <w:p>
            <w:pPr>
              <w:jc w:val="right"/>
              <w:ind w:right="154"/>
              <w:spacing w:after="0"/>
              <w:rPr>
                <w:sz w:val="20"/>
                <w:szCs w:val="20"/>
                <w:color w:val="auto"/>
              </w:rPr>
            </w:pPr>
            <w:r>
              <w:rPr>
                <w:rFonts w:ascii="Arial" w:cs="Arial" w:eastAsia="Arial" w:hAnsi="Arial"/>
                <w:sz w:val="13"/>
                <w:szCs w:val="13"/>
                <w:color w:val="auto"/>
              </w:rPr>
              <w:t>Non-Equity</w:t>
            </w:r>
          </w:p>
        </w:tc>
        <w:tc>
          <w:tcPr>
            <w:tcW w:w="1180" w:type="dxa"/>
            <w:vAlign w:val="bottom"/>
          </w:tcPr>
          <w:p>
            <w:pPr>
              <w:jc w:val="right"/>
              <w:ind w:right="94"/>
              <w:spacing w:after="0"/>
              <w:rPr>
                <w:sz w:val="20"/>
                <w:szCs w:val="20"/>
                <w:color w:val="auto"/>
              </w:rPr>
            </w:pPr>
            <w:r>
              <w:rPr>
                <w:rFonts w:ascii="Arial" w:cs="Arial" w:eastAsia="Arial" w:hAnsi="Arial"/>
                <w:sz w:val="13"/>
                <w:szCs w:val="13"/>
                <w:color w:val="auto"/>
              </w:rPr>
              <w:t>Nonqualified</w:t>
            </w:r>
          </w:p>
        </w:tc>
        <w:tc>
          <w:tcPr>
            <w:tcW w:w="126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jc w:val="right"/>
              <w:ind w:right="214"/>
              <w:spacing w:after="0"/>
              <w:rPr>
                <w:sz w:val="20"/>
                <w:szCs w:val="20"/>
                <w:color w:val="auto"/>
              </w:rPr>
            </w:pPr>
            <w:r>
              <w:rPr>
                <w:rFonts w:ascii="Arial" w:cs="Arial" w:eastAsia="Arial" w:hAnsi="Arial"/>
                <w:sz w:val="13"/>
                <w:szCs w:val="13"/>
                <w:color w:val="auto"/>
              </w:rPr>
              <w:t>Stock</w:t>
            </w:r>
          </w:p>
        </w:tc>
        <w:tc>
          <w:tcPr>
            <w:tcW w:w="820" w:type="dxa"/>
            <w:vAlign w:val="bottom"/>
          </w:tcPr>
          <w:p>
            <w:pPr>
              <w:jc w:val="right"/>
              <w:ind w:right="14"/>
              <w:spacing w:after="0"/>
              <w:rPr>
                <w:sz w:val="20"/>
                <w:szCs w:val="20"/>
                <w:color w:val="auto"/>
              </w:rPr>
            </w:pPr>
            <w:r>
              <w:rPr>
                <w:rFonts w:ascii="Arial" w:cs="Arial" w:eastAsia="Arial" w:hAnsi="Arial"/>
                <w:sz w:val="13"/>
                <w:szCs w:val="13"/>
                <w:color w:val="auto"/>
              </w:rPr>
              <w:t>Option</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Incentive</w:t>
            </w:r>
          </w:p>
        </w:tc>
        <w:tc>
          <w:tcPr>
            <w:tcW w:w="1180" w:type="dxa"/>
            <w:vAlign w:val="bottom"/>
          </w:tcPr>
          <w:p>
            <w:pPr>
              <w:jc w:val="right"/>
              <w:ind w:right="94"/>
              <w:spacing w:after="0"/>
              <w:rPr>
                <w:sz w:val="20"/>
                <w:szCs w:val="20"/>
                <w:color w:val="auto"/>
              </w:rPr>
            </w:pPr>
            <w:r>
              <w:rPr>
                <w:rFonts w:ascii="Arial" w:cs="Arial" w:eastAsia="Arial" w:hAnsi="Arial"/>
                <w:sz w:val="13"/>
                <w:szCs w:val="13"/>
                <w:color w:val="auto"/>
              </w:rPr>
              <w:t>Deferred</w:t>
            </w:r>
          </w:p>
        </w:tc>
        <w:tc>
          <w:tcPr>
            <w:tcW w:w="126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jc w:val="right"/>
              <w:ind w:right="214"/>
              <w:spacing w:after="0"/>
              <w:rPr>
                <w:sz w:val="20"/>
                <w:szCs w:val="20"/>
                <w:color w:val="auto"/>
              </w:rPr>
            </w:pPr>
            <w:r>
              <w:rPr>
                <w:rFonts w:ascii="Arial" w:cs="Arial" w:eastAsia="Arial" w:hAnsi="Arial"/>
                <w:sz w:val="13"/>
                <w:szCs w:val="13"/>
                <w:color w:val="auto"/>
              </w:rPr>
              <w:t>Awards</w:t>
            </w:r>
          </w:p>
        </w:tc>
        <w:tc>
          <w:tcPr>
            <w:tcW w:w="820" w:type="dxa"/>
            <w:vAlign w:val="bottom"/>
          </w:tcPr>
          <w:p>
            <w:pPr>
              <w:jc w:val="right"/>
              <w:ind w:right="14"/>
              <w:spacing w:after="0"/>
              <w:rPr>
                <w:sz w:val="20"/>
                <w:szCs w:val="20"/>
                <w:color w:val="auto"/>
              </w:rPr>
            </w:pPr>
            <w:r>
              <w:rPr>
                <w:rFonts w:ascii="Arial" w:cs="Arial" w:eastAsia="Arial" w:hAnsi="Arial"/>
                <w:sz w:val="13"/>
                <w:szCs w:val="13"/>
                <w:color w:val="auto"/>
              </w:rPr>
              <w:t>Awards</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Plan</w:t>
            </w:r>
          </w:p>
        </w:tc>
        <w:tc>
          <w:tcPr>
            <w:tcW w:w="1180" w:type="dxa"/>
            <w:vAlign w:val="bottom"/>
          </w:tcPr>
          <w:p>
            <w:pPr>
              <w:jc w:val="right"/>
              <w:ind w:right="94"/>
              <w:spacing w:after="0"/>
              <w:rPr>
                <w:sz w:val="20"/>
                <w:szCs w:val="20"/>
                <w:color w:val="auto"/>
              </w:rPr>
            </w:pPr>
            <w:r>
              <w:rPr>
                <w:rFonts w:ascii="Arial" w:cs="Arial" w:eastAsia="Arial" w:hAnsi="Arial"/>
                <w:sz w:val="13"/>
                <w:szCs w:val="13"/>
                <w:color w:val="auto"/>
              </w:rPr>
              <w:t>Compensation</w:t>
            </w:r>
          </w:p>
        </w:tc>
        <w:tc>
          <w:tcPr>
            <w:tcW w:w="1260" w:type="dxa"/>
            <w:vAlign w:val="bottom"/>
          </w:tcPr>
          <w:p>
            <w:pPr>
              <w:jc w:val="right"/>
              <w:ind w:right="194"/>
              <w:spacing w:after="0"/>
              <w:rPr>
                <w:sz w:val="20"/>
                <w:szCs w:val="20"/>
                <w:color w:val="auto"/>
              </w:rPr>
            </w:pPr>
            <w:r>
              <w:rPr>
                <w:rFonts w:ascii="Arial" w:cs="Arial" w:eastAsia="Arial" w:hAnsi="Arial"/>
                <w:sz w:val="13"/>
                <w:szCs w:val="13"/>
                <w:color w:val="auto"/>
              </w:rPr>
              <w:t>All Other</w:t>
            </w:r>
          </w:p>
        </w:tc>
        <w:tc>
          <w:tcPr>
            <w:tcW w:w="960" w:type="dxa"/>
            <w:vAlign w:val="bottom"/>
          </w:tcPr>
          <w:p>
            <w:pPr>
              <w:spacing w:after="0"/>
              <w:rPr>
                <w:sz w:val="12"/>
                <w:szCs w:val="12"/>
                <w:color w:val="auto"/>
              </w:rPr>
            </w:pPr>
          </w:p>
        </w:tc>
      </w:tr>
      <w:tr>
        <w:trPr>
          <w:trHeight w:val="149"/>
        </w:trPr>
        <w:tc>
          <w:tcPr>
            <w:tcW w:w="2260" w:type="dxa"/>
            <w:vAlign w:val="bottom"/>
          </w:tcPr>
          <w:p>
            <w:pPr>
              <w:spacing w:after="0"/>
              <w:rPr>
                <w:sz w:val="20"/>
                <w:szCs w:val="20"/>
                <w:color w:val="auto"/>
              </w:rPr>
            </w:pPr>
            <w:r>
              <w:rPr>
                <w:rFonts w:ascii="Arial" w:cs="Arial" w:eastAsia="Arial" w:hAnsi="Arial"/>
                <w:sz w:val="13"/>
                <w:szCs w:val="13"/>
                <w:color w:val="auto"/>
              </w:rPr>
              <w:t>Name and</w:t>
            </w:r>
          </w:p>
        </w:tc>
        <w:tc>
          <w:tcPr>
            <w:tcW w:w="720" w:type="dxa"/>
            <w:vAlign w:val="bottom"/>
          </w:tcPr>
          <w:p>
            <w:pPr>
              <w:spacing w:after="0"/>
              <w:rPr>
                <w:sz w:val="12"/>
                <w:szCs w:val="12"/>
                <w:color w:val="auto"/>
              </w:rPr>
            </w:pPr>
          </w:p>
        </w:tc>
        <w:tc>
          <w:tcPr>
            <w:tcW w:w="980" w:type="dxa"/>
            <w:vAlign w:val="bottom"/>
          </w:tcPr>
          <w:p>
            <w:pPr>
              <w:jc w:val="right"/>
              <w:ind w:right="154"/>
              <w:spacing w:after="0"/>
              <w:rPr>
                <w:sz w:val="20"/>
                <w:szCs w:val="20"/>
                <w:color w:val="auto"/>
              </w:rPr>
            </w:pPr>
            <w:r>
              <w:rPr>
                <w:rFonts w:ascii="Arial" w:cs="Arial" w:eastAsia="Arial" w:hAnsi="Arial"/>
                <w:sz w:val="13"/>
                <w:szCs w:val="13"/>
                <w:color w:val="auto"/>
              </w:rPr>
              <w:t>Salary</w:t>
            </w:r>
          </w:p>
        </w:tc>
        <w:tc>
          <w:tcPr>
            <w:tcW w:w="900" w:type="dxa"/>
            <w:vAlign w:val="bottom"/>
          </w:tcPr>
          <w:p>
            <w:pPr>
              <w:jc w:val="right"/>
              <w:ind w:right="154"/>
              <w:spacing w:after="0"/>
              <w:rPr>
                <w:sz w:val="20"/>
                <w:szCs w:val="20"/>
                <w:color w:val="auto"/>
              </w:rPr>
            </w:pPr>
            <w:r>
              <w:rPr>
                <w:rFonts w:ascii="Arial" w:cs="Arial" w:eastAsia="Arial" w:hAnsi="Arial"/>
                <w:sz w:val="13"/>
                <w:szCs w:val="13"/>
                <w:color w:val="auto"/>
              </w:rPr>
              <w:t>Bonus</w:t>
            </w:r>
          </w:p>
        </w:tc>
        <w:tc>
          <w:tcPr>
            <w:tcW w:w="1060" w:type="dxa"/>
            <w:vAlign w:val="bottom"/>
          </w:tcPr>
          <w:p>
            <w:pPr>
              <w:jc w:val="right"/>
              <w:ind w:right="214"/>
              <w:spacing w:after="0"/>
              <w:rPr>
                <w:sz w:val="20"/>
                <w:szCs w:val="20"/>
                <w:color w:val="auto"/>
              </w:rPr>
            </w:pPr>
            <w:r>
              <w:rPr>
                <w:rFonts w:ascii="Arial" w:cs="Arial" w:eastAsia="Arial" w:hAnsi="Arial"/>
                <w:sz w:val="13"/>
                <w:szCs w:val="13"/>
                <w:color w:val="auto"/>
              </w:rPr>
              <w:t>Granted</w:t>
            </w:r>
          </w:p>
        </w:tc>
        <w:tc>
          <w:tcPr>
            <w:tcW w:w="820" w:type="dxa"/>
            <w:vAlign w:val="bottom"/>
          </w:tcPr>
          <w:p>
            <w:pPr>
              <w:jc w:val="right"/>
              <w:ind w:right="14"/>
              <w:spacing w:after="0"/>
              <w:rPr>
                <w:sz w:val="20"/>
                <w:szCs w:val="20"/>
                <w:color w:val="auto"/>
              </w:rPr>
            </w:pPr>
            <w:r>
              <w:rPr>
                <w:rFonts w:ascii="Arial" w:cs="Arial" w:eastAsia="Arial" w:hAnsi="Arial"/>
                <w:sz w:val="13"/>
                <w:szCs w:val="13"/>
                <w:color w:val="auto"/>
              </w:rPr>
              <w:t>Granted</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Compensation</w:t>
            </w:r>
          </w:p>
        </w:tc>
        <w:tc>
          <w:tcPr>
            <w:tcW w:w="1180" w:type="dxa"/>
            <w:vAlign w:val="bottom"/>
          </w:tcPr>
          <w:p>
            <w:pPr>
              <w:jc w:val="right"/>
              <w:ind w:right="54"/>
              <w:spacing w:after="0"/>
              <w:rPr>
                <w:sz w:val="20"/>
                <w:szCs w:val="20"/>
                <w:color w:val="auto"/>
              </w:rPr>
            </w:pPr>
            <w:r>
              <w:rPr>
                <w:rFonts w:ascii="Arial" w:cs="Arial" w:eastAsia="Arial" w:hAnsi="Arial"/>
                <w:sz w:val="13"/>
                <w:szCs w:val="13"/>
                <w:color w:val="auto"/>
              </w:rPr>
              <w:t>Earnings</w:t>
            </w:r>
          </w:p>
        </w:tc>
        <w:tc>
          <w:tcPr>
            <w:tcW w:w="1260" w:type="dxa"/>
            <w:vAlign w:val="bottom"/>
          </w:tcPr>
          <w:p>
            <w:pPr>
              <w:jc w:val="right"/>
              <w:ind w:right="194"/>
              <w:spacing w:after="0"/>
              <w:rPr>
                <w:sz w:val="20"/>
                <w:szCs w:val="20"/>
                <w:color w:val="auto"/>
              </w:rPr>
            </w:pPr>
            <w:r>
              <w:rPr>
                <w:rFonts w:ascii="Arial" w:cs="Arial" w:eastAsia="Arial" w:hAnsi="Arial"/>
                <w:sz w:val="13"/>
                <w:szCs w:val="13"/>
                <w:color w:val="auto"/>
              </w:rPr>
              <w:t>Compensation</w:t>
            </w:r>
          </w:p>
        </w:tc>
        <w:tc>
          <w:tcPr>
            <w:tcW w:w="960" w:type="dxa"/>
            <w:vAlign w:val="bottom"/>
          </w:tcPr>
          <w:p>
            <w:pPr>
              <w:jc w:val="right"/>
              <w:ind w:right="34"/>
              <w:spacing w:after="0"/>
              <w:rPr>
                <w:sz w:val="20"/>
                <w:szCs w:val="20"/>
                <w:color w:val="auto"/>
              </w:rPr>
            </w:pPr>
            <w:r>
              <w:rPr>
                <w:rFonts w:ascii="Arial" w:cs="Arial" w:eastAsia="Arial" w:hAnsi="Arial"/>
                <w:sz w:val="13"/>
                <w:szCs w:val="13"/>
                <w:color w:val="auto"/>
              </w:rPr>
              <w:t>Total</w:t>
            </w:r>
          </w:p>
        </w:tc>
      </w:tr>
      <w:tr>
        <w:trPr>
          <w:trHeight w:val="157"/>
        </w:trPr>
        <w:tc>
          <w:tcPr>
            <w:tcW w:w="22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Principal Position</w:t>
            </w: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color w:val="auto"/>
              </w:rPr>
              <w:t>Year</w:t>
            </w:r>
          </w:p>
        </w:tc>
        <w:tc>
          <w:tcPr>
            <w:tcW w:w="98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color w:val="auto"/>
              </w:rPr>
              <w:t>(a) ($)</w:t>
            </w:r>
          </w:p>
        </w:tc>
        <w:tc>
          <w:tcPr>
            <w:tcW w:w="106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color w:val="auto"/>
              </w:rPr>
              <w:t>(b) ($)</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(c) ($)</w:t>
            </w: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color w:val="auto"/>
              </w:rPr>
              <w:t>(d) ($)</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r>
      <w:tr>
        <w:trPr>
          <w:trHeight w:val="142"/>
        </w:trPr>
        <w:tc>
          <w:tcPr>
            <w:tcW w:w="2260" w:type="dxa"/>
            <w:vAlign w:val="bottom"/>
            <w:shd w:val="clear" w:color="auto" w:fill="E5E5E5"/>
          </w:tcPr>
          <w:p>
            <w:pPr>
              <w:spacing w:after="0" w:line="142" w:lineRule="exact"/>
              <w:rPr>
                <w:sz w:val="20"/>
                <w:szCs w:val="20"/>
                <w:color w:val="auto"/>
              </w:rPr>
            </w:pPr>
            <w:r>
              <w:rPr>
                <w:rFonts w:ascii="Arial" w:cs="Arial" w:eastAsia="Arial" w:hAnsi="Arial"/>
                <w:sz w:val="13"/>
                <w:szCs w:val="13"/>
                <w:b w:val="1"/>
                <w:bCs w:val="1"/>
                <w:color w:val="auto"/>
              </w:rPr>
              <w:t xml:space="preserve">G. Manning Rountree </w:t>
            </w:r>
            <w:r>
              <w:rPr>
                <w:rFonts w:ascii="Arial" w:cs="Arial" w:eastAsia="Arial" w:hAnsi="Arial"/>
                <w:sz w:val="13"/>
                <w:szCs w:val="13"/>
                <w:color w:val="auto"/>
              </w:rPr>
              <w:t>(e)</w:t>
            </w:r>
          </w:p>
        </w:tc>
        <w:tc>
          <w:tcPr>
            <w:tcW w:w="720" w:type="dxa"/>
            <w:vAlign w:val="bottom"/>
            <w:shd w:val="clear" w:color="auto" w:fill="E5E5E5"/>
          </w:tcPr>
          <w:p>
            <w:pPr>
              <w:jc w:val="right"/>
              <w:ind w:right="194"/>
              <w:spacing w:after="0" w:line="142" w:lineRule="exact"/>
              <w:rPr>
                <w:sz w:val="20"/>
                <w:szCs w:val="20"/>
                <w:color w:val="auto"/>
              </w:rPr>
            </w:pPr>
            <w:r>
              <w:rPr>
                <w:rFonts w:ascii="Arial" w:cs="Arial" w:eastAsia="Arial" w:hAnsi="Arial"/>
                <w:sz w:val="13"/>
                <w:szCs w:val="13"/>
                <w:color w:val="auto"/>
              </w:rPr>
              <w:t>2025</w:t>
            </w:r>
          </w:p>
        </w:tc>
        <w:tc>
          <w:tcPr>
            <w:tcW w:w="980" w:type="dxa"/>
            <w:vAlign w:val="bottom"/>
            <w:shd w:val="clear" w:color="auto" w:fill="E5E5E5"/>
          </w:tcPr>
          <w:p>
            <w:pPr>
              <w:jc w:val="right"/>
              <w:ind w:right="154"/>
              <w:spacing w:after="0" w:line="142" w:lineRule="exact"/>
              <w:rPr>
                <w:sz w:val="20"/>
                <w:szCs w:val="20"/>
                <w:color w:val="auto"/>
              </w:rPr>
            </w:pPr>
            <w:r>
              <w:rPr>
                <w:rFonts w:ascii="Arial" w:cs="Arial" w:eastAsia="Arial" w:hAnsi="Arial"/>
                <w:sz w:val="13"/>
                <w:szCs w:val="13"/>
                <w:color w:val="auto"/>
              </w:rPr>
              <w:t>600,000</w:t>
            </w:r>
          </w:p>
        </w:tc>
        <w:tc>
          <w:tcPr>
            <w:tcW w:w="900" w:type="dxa"/>
            <w:vAlign w:val="bottom"/>
            <w:shd w:val="clear" w:color="auto" w:fill="E5E5E5"/>
          </w:tcPr>
          <w:p>
            <w:pPr>
              <w:jc w:val="right"/>
              <w:ind w:right="154"/>
              <w:spacing w:after="0" w:line="142" w:lineRule="exact"/>
              <w:rPr>
                <w:sz w:val="20"/>
                <w:szCs w:val="20"/>
                <w:color w:val="auto"/>
              </w:rPr>
            </w:pPr>
            <w:r>
              <w:rPr>
                <w:rFonts w:ascii="Arial" w:cs="Arial" w:eastAsia="Arial" w:hAnsi="Arial"/>
                <w:sz w:val="13"/>
                <w:szCs w:val="13"/>
                <w:color w:val="auto"/>
              </w:rPr>
              <w:t>-</w:t>
            </w:r>
          </w:p>
        </w:tc>
        <w:tc>
          <w:tcPr>
            <w:tcW w:w="1060" w:type="dxa"/>
            <w:vAlign w:val="bottom"/>
            <w:shd w:val="clear" w:color="auto" w:fill="E5E5E5"/>
          </w:tcPr>
          <w:p>
            <w:pPr>
              <w:jc w:val="right"/>
              <w:ind w:right="214"/>
              <w:spacing w:after="0" w:line="142" w:lineRule="exact"/>
              <w:rPr>
                <w:sz w:val="20"/>
                <w:szCs w:val="20"/>
                <w:color w:val="auto"/>
              </w:rPr>
            </w:pPr>
            <w:r>
              <w:rPr>
                <w:rFonts w:ascii="Arial" w:cs="Arial" w:eastAsia="Arial" w:hAnsi="Arial"/>
                <w:sz w:val="13"/>
                <w:szCs w:val="13"/>
                <w:color w:val="auto"/>
              </w:rPr>
              <w:t>5,954,618</w:t>
            </w:r>
          </w:p>
        </w:tc>
        <w:tc>
          <w:tcPr>
            <w:tcW w:w="820" w:type="dxa"/>
            <w:vAlign w:val="bottom"/>
            <w:shd w:val="clear" w:color="auto" w:fill="E5E5E5"/>
          </w:tcPr>
          <w:p>
            <w:pPr>
              <w:jc w:val="right"/>
              <w:ind w:right="14"/>
              <w:spacing w:after="0" w:line="142" w:lineRule="exact"/>
              <w:rPr>
                <w:sz w:val="20"/>
                <w:szCs w:val="20"/>
                <w:color w:val="auto"/>
              </w:rPr>
            </w:pPr>
            <w:r>
              <w:rPr>
                <w:rFonts w:ascii="Arial" w:cs="Arial" w:eastAsia="Arial" w:hAnsi="Arial"/>
                <w:sz w:val="13"/>
                <w:szCs w:val="13"/>
                <w:color w:val="auto"/>
              </w:rPr>
              <w:t>-</w:t>
            </w:r>
          </w:p>
        </w:tc>
        <w:tc>
          <w:tcPr>
            <w:tcW w:w="1100" w:type="dxa"/>
            <w:vAlign w:val="bottom"/>
            <w:shd w:val="clear" w:color="auto" w:fill="E5E5E5"/>
          </w:tcPr>
          <w:p>
            <w:pPr>
              <w:jc w:val="right"/>
              <w:ind w:right="114"/>
              <w:spacing w:after="0" w:line="142" w:lineRule="exact"/>
              <w:rPr>
                <w:sz w:val="20"/>
                <w:szCs w:val="20"/>
                <w:color w:val="auto"/>
              </w:rPr>
            </w:pPr>
            <w:r>
              <w:rPr>
                <w:rFonts w:ascii="Arial" w:cs="Arial" w:eastAsia="Arial" w:hAnsi="Arial"/>
                <w:sz w:val="13"/>
                <w:szCs w:val="13"/>
                <w:color w:val="auto"/>
              </w:rPr>
              <w:t>1,200,000</w:t>
            </w:r>
          </w:p>
        </w:tc>
        <w:tc>
          <w:tcPr>
            <w:tcW w:w="1180" w:type="dxa"/>
            <w:vAlign w:val="bottom"/>
            <w:shd w:val="clear" w:color="auto" w:fill="E5E5E5"/>
          </w:tcPr>
          <w:p>
            <w:pPr>
              <w:jc w:val="right"/>
              <w:ind w:right="54"/>
              <w:spacing w:after="0" w:line="142" w:lineRule="exact"/>
              <w:rPr>
                <w:sz w:val="20"/>
                <w:szCs w:val="20"/>
                <w:color w:val="auto"/>
              </w:rPr>
            </w:pPr>
            <w:r>
              <w:rPr>
                <w:rFonts w:ascii="Arial" w:cs="Arial" w:eastAsia="Arial" w:hAnsi="Arial"/>
                <w:sz w:val="13"/>
                <w:szCs w:val="13"/>
                <w:color w:val="auto"/>
              </w:rPr>
              <w:t>-</w:t>
            </w:r>
          </w:p>
        </w:tc>
        <w:tc>
          <w:tcPr>
            <w:tcW w:w="1260" w:type="dxa"/>
            <w:vAlign w:val="bottom"/>
            <w:shd w:val="clear" w:color="auto" w:fill="E5E5E5"/>
          </w:tcPr>
          <w:p>
            <w:pPr>
              <w:jc w:val="right"/>
              <w:ind w:right="194"/>
              <w:spacing w:after="0" w:line="142" w:lineRule="exact"/>
              <w:rPr>
                <w:sz w:val="20"/>
                <w:szCs w:val="20"/>
                <w:color w:val="auto"/>
              </w:rPr>
            </w:pPr>
            <w:r>
              <w:rPr>
                <w:rFonts w:ascii="Arial" w:cs="Arial" w:eastAsia="Arial" w:hAnsi="Arial"/>
                <w:sz w:val="13"/>
                <w:szCs w:val="13"/>
                <w:color w:val="auto"/>
              </w:rPr>
              <w:t>309,691</w:t>
            </w:r>
          </w:p>
        </w:tc>
        <w:tc>
          <w:tcPr>
            <w:tcW w:w="960" w:type="dxa"/>
            <w:vAlign w:val="bottom"/>
            <w:shd w:val="clear" w:color="auto" w:fill="E5E5E5"/>
          </w:tcPr>
          <w:p>
            <w:pPr>
              <w:jc w:val="right"/>
              <w:ind w:right="34"/>
              <w:spacing w:after="0" w:line="142" w:lineRule="exact"/>
              <w:rPr>
                <w:sz w:val="20"/>
                <w:szCs w:val="20"/>
                <w:color w:val="auto"/>
              </w:rPr>
            </w:pPr>
            <w:r>
              <w:rPr>
                <w:rFonts w:ascii="Arial" w:cs="Arial" w:eastAsia="Arial" w:hAnsi="Arial"/>
                <w:sz w:val="13"/>
                <w:szCs w:val="13"/>
                <w:color w:val="auto"/>
              </w:rPr>
              <w:t>8,064,309</w:t>
            </w:r>
          </w:p>
        </w:tc>
      </w:tr>
      <w:tr>
        <w:trPr>
          <w:trHeight w:val="149"/>
        </w:trPr>
        <w:tc>
          <w:tcPr>
            <w:tcW w:w="2260" w:type="dxa"/>
            <w:vAlign w:val="bottom"/>
            <w:shd w:val="clear" w:color="auto" w:fill="E5E5E5"/>
          </w:tcPr>
          <w:p>
            <w:pPr>
              <w:spacing w:after="0"/>
              <w:rPr>
                <w:sz w:val="20"/>
                <w:szCs w:val="20"/>
                <w:color w:val="auto"/>
              </w:rPr>
            </w:pPr>
            <w:r>
              <w:rPr>
                <w:rFonts w:ascii="Arial" w:cs="Arial" w:eastAsia="Arial" w:hAnsi="Arial"/>
                <w:sz w:val="13"/>
                <w:szCs w:val="13"/>
                <w:color w:val="auto"/>
              </w:rPr>
              <w:t>Chief Executive Officer</w:t>
            </w: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3"/>
                <w:szCs w:val="13"/>
                <w:color w:val="auto"/>
              </w:rPr>
              <w:t>2024</w:t>
            </w:r>
          </w:p>
        </w:tc>
        <w:tc>
          <w:tcPr>
            <w:tcW w:w="980" w:type="dxa"/>
            <w:vAlign w:val="bottom"/>
            <w:shd w:val="clear" w:color="auto" w:fill="E5E5E5"/>
          </w:tcPr>
          <w:p>
            <w:pPr>
              <w:jc w:val="right"/>
              <w:ind w:right="154"/>
              <w:spacing w:after="0"/>
              <w:rPr>
                <w:sz w:val="20"/>
                <w:szCs w:val="20"/>
                <w:color w:val="auto"/>
              </w:rPr>
            </w:pPr>
            <w:r>
              <w:rPr>
                <w:rFonts w:ascii="Arial" w:cs="Arial" w:eastAsia="Arial" w:hAnsi="Arial"/>
                <w:sz w:val="13"/>
                <w:szCs w:val="13"/>
                <w:color w:val="auto"/>
              </w:rPr>
              <w:t>600,000</w:t>
            </w:r>
          </w:p>
        </w:tc>
        <w:tc>
          <w:tcPr>
            <w:tcW w:w="900" w:type="dxa"/>
            <w:vAlign w:val="bottom"/>
            <w:shd w:val="clear" w:color="auto" w:fill="E5E5E5"/>
          </w:tcPr>
          <w:p>
            <w:pPr>
              <w:jc w:val="right"/>
              <w:ind w:right="154"/>
              <w:spacing w:after="0"/>
              <w:rPr>
                <w:sz w:val="20"/>
                <w:szCs w:val="20"/>
                <w:color w:val="auto"/>
              </w:rPr>
            </w:pPr>
            <w:r>
              <w:rPr>
                <w:rFonts w:ascii="Arial" w:cs="Arial" w:eastAsia="Arial" w:hAnsi="Arial"/>
                <w:sz w:val="13"/>
                <w:szCs w:val="13"/>
                <w:color w:val="auto"/>
              </w:rPr>
              <w:t>-</w:t>
            </w:r>
          </w:p>
        </w:tc>
        <w:tc>
          <w:tcPr>
            <w:tcW w:w="1060" w:type="dxa"/>
            <w:vAlign w:val="bottom"/>
            <w:shd w:val="clear" w:color="auto" w:fill="E5E5E5"/>
          </w:tcPr>
          <w:p>
            <w:pPr>
              <w:jc w:val="right"/>
              <w:ind w:right="214"/>
              <w:spacing w:after="0"/>
              <w:rPr>
                <w:sz w:val="20"/>
                <w:szCs w:val="20"/>
                <w:color w:val="auto"/>
              </w:rPr>
            </w:pPr>
            <w:r>
              <w:rPr>
                <w:rFonts w:ascii="Arial" w:cs="Arial" w:eastAsia="Arial" w:hAnsi="Arial"/>
                <w:sz w:val="13"/>
                <w:szCs w:val="13"/>
                <w:color w:val="auto"/>
              </w:rPr>
              <w:t>6,352,596</w:t>
            </w:r>
          </w:p>
        </w:tc>
        <w:tc>
          <w:tcPr>
            <w:tcW w:w="82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w:t>
            </w:r>
          </w:p>
        </w:tc>
        <w:tc>
          <w:tcPr>
            <w:tcW w:w="1100" w:type="dxa"/>
            <w:vAlign w:val="bottom"/>
            <w:shd w:val="clear" w:color="auto" w:fill="E5E5E5"/>
          </w:tcPr>
          <w:p>
            <w:pPr>
              <w:jc w:val="right"/>
              <w:ind w:right="114"/>
              <w:spacing w:after="0"/>
              <w:rPr>
                <w:sz w:val="20"/>
                <w:szCs w:val="20"/>
                <w:color w:val="auto"/>
              </w:rPr>
            </w:pPr>
            <w:r>
              <w:rPr>
                <w:rFonts w:ascii="Arial" w:cs="Arial" w:eastAsia="Arial" w:hAnsi="Arial"/>
                <w:sz w:val="13"/>
                <w:szCs w:val="13"/>
                <w:color w:val="auto"/>
              </w:rPr>
              <w:t>211,500</w:t>
            </w:r>
          </w:p>
        </w:tc>
        <w:tc>
          <w:tcPr>
            <w:tcW w:w="1180" w:type="dxa"/>
            <w:vAlign w:val="bottom"/>
            <w:shd w:val="clear" w:color="auto" w:fill="E5E5E5"/>
          </w:tcPr>
          <w:p>
            <w:pPr>
              <w:jc w:val="right"/>
              <w:ind w:right="54"/>
              <w:spacing w:after="0"/>
              <w:rPr>
                <w:sz w:val="20"/>
                <w:szCs w:val="20"/>
                <w:color w:val="auto"/>
              </w:rPr>
            </w:pPr>
            <w:r>
              <w:rPr>
                <w:rFonts w:ascii="Arial" w:cs="Arial" w:eastAsia="Arial" w:hAnsi="Arial"/>
                <w:sz w:val="13"/>
                <w:szCs w:val="13"/>
                <w:color w:val="auto"/>
              </w:rPr>
              <w:t>-</w:t>
            </w:r>
          </w:p>
        </w:tc>
        <w:tc>
          <w:tcPr>
            <w:tcW w:w="1260" w:type="dxa"/>
            <w:vAlign w:val="bottom"/>
            <w:shd w:val="clear" w:color="auto" w:fill="E5E5E5"/>
          </w:tcPr>
          <w:p>
            <w:pPr>
              <w:jc w:val="right"/>
              <w:ind w:right="194"/>
              <w:spacing w:after="0"/>
              <w:rPr>
                <w:sz w:val="20"/>
                <w:szCs w:val="20"/>
                <w:color w:val="auto"/>
              </w:rPr>
            </w:pPr>
            <w:r>
              <w:rPr>
                <w:rFonts w:ascii="Arial" w:cs="Arial" w:eastAsia="Arial" w:hAnsi="Arial"/>
                <w:sz w:val="13"/>
                <w:szCs w:val="13"/>
                <w:color w:val="auto"/>
              </w:rPr>
              <w:t>258,862</w:t>
            </w:r>
          </w:p>
        </w:tc>
        <w:tc>
          <w:tcPr>
            <w:tcW w:w="96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7,422,958</w:t>
            </w:r>
          </w:p>
        </w:tc>
      </w:tr>
      <w:tr>
        <w:trPr>
          <w:trHeight w:val="149"/>
        </w:trPr>
        <w:tc>
          <w:tcPr>
            <w:tcW w:w="226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3"/>
                <w:szCs w:val="13"/>
                <w:color w:val="auto"/>
              </w:rPr>
              <w:t>2023</w:t>
            </w:r>
          </w:p>
        </w:tc>
        <w:tc>
          <w:tcPr>
            <w:tcW w:w="98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3"/>
                <w:szCs w:val="13"/>
                <w:color w:val="auto"/>
              </w:rPr>
              <w:t>584,615</w:t>
            </w:r>
          </w:p>
        </w:tc>
        <w:tc>
          <w:tcPr>
            <w:tcW w:w="90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3"/>
                <w:szCs w:val="13"/>
                <w:color w:val="auto"/>
              </w:rPr>
              <w:t>5,872,920</w:t>
            </w:r>
          </w:p>
        </w:tc>
        <w:tc>
          <w:tcPr>
            <w:tcW w:w="82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3"/>
                <w:szCs w:val="13"/>
                <w:color w:val="auto"/>
              </w:rPr>
              <w:t>765,000</w:t>
            </w:r>
          </w:p>
        </w:tc>
        <w:tc>
          <w:tcPr>
            <w:tcW w:w="118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3"/>
                <w:szCs w:val="13"/>
                <w:color w:val="auto"/>
              </w:rPr>
              <w:t>354,466</w:t>
            </w:r>
          </w:p>
        </w:tc>
        <w:tc>
          <w:tcPr>
            <w:tcW w:w="96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3"/>
                <w:szCs w:val="13"/>
                <w:color w:val="auto"/>
              </w:rPr>
              <w:t>7,577,001</w:t>
            </w:r>
          </w:p>
        </w:tc>
      </w:tr>
      <w:tr>
        <w:trPr>
          <w:trHeight w:val="134"/>
        </w:trPr>
        <w:tc>
          <w:tcPr>
            <w:tcW w:w="2260" w:type="dxa"/>
            <w:vAlign w:val="bottom"/>
          </w:tcPr>
          <w:p>
            <w:pPr>
              <w:spacing w:after="0" w:line="134" w:lineRule="exact"/>
              <w:rPr>
                <w:sz w:val="20"/>
                <w:szCs w:val="20"/>
                <w:color w:val="auto"/>
              </w:rPr>
            </w:pPr>
            <w:r>
              <w:rPr>
                <w:rFonts w:ascii="Arial" w:cs="Arial" w:eastAsia="Arial" w:hAnsi="Arial"/>
                <w:sz w:val="13"/>
                <w:szCs w:val="13"/>
                <w:b w:val="1"/>
                <w:bCs w:val="1"/>
                <w:color w:val="auto"/>
              </w:rPr>
              <w:t xml:space="preserve">Liam P. Caffrey </w:t>
            </w:r>
            <w:r>
              <w:rPr>
                <w:rFonts w:ascii="Arial" w:cs="Arial" w:eastAsia="Arial" w:hAnsi="Arial"/>
                <w:sz w:val="13"/>
                <w:szCs w:val="13"/>
                <w:color w:val="auto"/>
              </w:rPr>
              <w:t>(f)</w:t>
            </w:r>
          </w:p>
        </w:tc>
        <w:tc>
          <w:tcPr>
            <w:tcW w:w="720" w:type="dxa"/>
            <w:vAlign w:val="bottom"/>
          </w:tcPr>
          <w:p>
            <w:pPr>
              <w:jc w:val="right"/>
              <w:ind w:right="194"/>
              <w:spacing w:after="0" w:line="134" w:lineRule="exact"/>
              <w:rPr>
                <w:sz w:val="20"/>
                <w:szCs w:val="20"/>
                <w:color w:val="auto"/>
              </w:rPr>
            </w:pPr>
            <w:r>
              <w:rPr>
                <w:rFonts w:ascii="Arial" w:cs="Arial" w:eastAsia="Arial" w:hAnsi="Arial"/>
                <w:sz w:val="13"/>
                <w:szCs w:val="13"/>
                <w:color w:val="auto"/>
              </w:rPr>
              <w:t>2025</w:t>
            </w:r>
          </w:p>
        </w:tc>
        <w:tc>
          <w:tcPr>
            <w:tcW w:w="980" w:type="dxa"/>
            <w:vAlign w:val="bottom"/>
          </w:tcPr>
          <w:p>
            <w:pPr>
              <w:jc w:val="right"/>
              <w:ind w:right="154"/>
              <w:spacing w:after="0" w:line="134" w:lineRule="exact"/>
              <w:rPr>
                <w:sz w:val="20"/>
                <w:szCs w:val="20"/>
                <w:color w:val="auto"/>
              </w:rPr>
            </w:pPr>
            <w:r>
              <w:rPr>
                <w:rFonts w:ascii="Arial" w:cs="Arial" w:eastAsia="Arial" w:hAnsi="Arial"/>
                <w:sz w:val="13"/>
                <w:szCs w:val="13"/>
                <w:color w:val="auto"/>
              </w:rPr>
              <w:t>600,000</w:t>
            </w:r>
          </w:p>
        </w:tc>
        <w:tc>
          <w:tcPr>
            <w:tcW w:w="900" w:type="dxa"/>
            <w:vAlign w:val="bottom"/>
          </w:tcPr>
          <w:p>
            <w:pPr>
              <w:jc w:val="right"/>
              <w:ind w:right="154"/>
              <w:spacing w:after="0" w:line="134"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214"/>
              <w:spacing w:after="0" w:line="134" w:lineRule="exact"/>
              <w:rPr>
                <w:sz w:val="20"/>
                <w:szCs w:val="20"/>
                <w:color w:val="auto"/>
              </w:rPr>
            </w:pPr>
            <w:r>
              <w:rPr>
                <w:rFonts w:ascii="Arial" w:cs="Arial" w:eastAsia="Arial" w:hAnsi="Arial"/>
                <w:sz w:val="13"/>
                <w:szCs w:val="13"/>
                <w:color w:val="auto"/>
              </w:rPr>
              <w:t>3,755,990</w:t>
            </w:r>
          </w:p>
        </w:tc>
        <w:tc>
          <w:tcPr>
            <w:tcW w:w="820" w:type="dxa"/>
            <w:vAlign w:val="bottom"/>
          </w:tcPr>
          <w:p>
            <w:pPr>
              <w:jc w:val="right"/>
              <w:ind w:right="14"/>
              <w:spacing w:after="0" w:line="134"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114"/>
              <w:spacing w:after="0" w:line="134" w:lineRule="exact"/>
              <w:rPr>
                <w:sz w:val="20"/>
                <w:szCs w:val="20"/>
                <w:color w:val="auto"/>
              </w:rPr>
            </w:pPr>
            <w:r>
              <w:rPr>
                <w:rFonts w:ascii="Arial" w:cs="Arial" w:eastAsia="Arial" w:hAnsi="Arial"/>
                <w:sz w:val="13"/>
                <w:szCs w:val="13"/>
                <w:color w:val="auto"/>
              </w:rPr>
              <w:t>1,200,000</w:t>
            </w:r>
          </w:p>
        </w:tc>
        <w:tc>
          <w:tcPr>
            <w:tcW w:w="1180" w:type="dxa"/>
            <w:vAlign w:val="bottom"/>
          </w:tcPr>
          <w:p>
            <w:pPr>
              <w:jc w:val="right"/>
              <w:ind w:right="54"/>
              <w:spacing w:after="0" w:line="134"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194"/>
              <w:spacing w:after="0" w:line="134" w:lineRule="exact"/>
              <w:rPr>
                <w:sz w:val="20"/>
                <w:szCs w:val="20"/>
                <w:color w:val="auto"/>
              </w:rPr>
            </w:pPr>
            <w:r>
              <w:rPr>
                <w:rFonts w:ascii="Arial" w:cs="Arial" w:eastAsia="Arial" w:hAnsi="Arial"/>
                <w:sz w:val="13"/>
                <w:szCs w:val="13"/>
                <w:color w:val="auto"/>
              </w:rPr>
              <w:t>389,501</w:t>
            </w:r>
          </w:p>
        </w:tc>
        <w:tc>
          <w:tcPr>
            <w:tcW w:w="960" w:type="dxa"/>
            <w:vAlign w:val="bottom"/>
          </w:tcPr>
          <w:p>
            <w:pPr>
              <w:jc w:val="right"/>
              <w:ind w:right="34"/>
              <w:spacing w:after="0" w:line="134" w:lineRule="exact"/>
              <w:rPr>
                <w:sz w:val="20"/>
                <w:szCs w:val="20"/>
                <w:color w:val="auto"/>
              </w:rPr>
            </w:pPr>
            <w:r>
              <w:rPr>
                <w:rFonts w:ascii="Arial" w:cs="Arial" w:eastAsia="Arial" w:hAnsi="Arial"/>
                <w:sz w:val="13"/>
                <w:szCs w:val="13"/>
                <w:color w:val="auto"/>
              </w:rPr>
              <w:t>5,945,491</w:t>
            </w:r>
          </w:p>
        </w:tc>
      </w:tr>
      <w:tr>
        <w:trPr>
          <w:trHeight w:val="149"/>
        </w:trPr>
        <w:tc>
          <w:tcPr>
            <w:tcW w:w="2260" w:type="dxa"/>
            <w:vAlign w:val="bottom"/>
          </w:tcPr>
          <w:p>
            <w:pPr>
              <w:spacing w:after="0"/>
              <w:rPr>
                <w:sz w:val="20"/>
                <w:szCs w:val="20"/>
                <w:color w:val="auto"/>
              </w:rPr>
            </w:pPr>
            <w:r>
              <w:rPr>
                <w:rFonts w:ascii="Arial" w:cs="Arial" w:eastAsia="Arial" w:hAnsi="Arial"/>
                <w:sz w:val="13"/>
                <w:szCs w:val="13"/>
                <w:color w:val="auto"/>
              </w:rPr>
              <w:t>President &amp;</w:t>
            </w:r>
          </w:p>
        </w:tc>
        <w:tc>
          <w:tcPr>
            <w:tcW w:w="720" w:type="dxa"/>
            <w:vAlign w:val="bottom"/>
          </w:tcPr>
          <w:p>
            <w:pPr>
              <w:jc w:val="right"/>
              <w:ind w:right="194"/>
              <w:spacing w:after="0"/>
              <w:rPr>
                <w:sz w:val="20"/>
                <w:szCs w:val="20"/>
                <w:color w:val="auto"/>
              </w:rPr>
            </w:pPr>
            <w:r>
              <w:rPr>
                <w:rFonts w:ascii="Arial" w:cs="Arial" w:eastAsia="Arial" w:hAnsi="Arial"/>
                <w:sz w:val="13"/>
                <w:szCs w:val="13"/>
                <w:color w:val="auto"/>
              </w:rPr>
              <w:t>2024</w:t>
            </w:r>
          </w:p>
        </w:tc>
        <w:tc>
          <w:tcPr>
            <w:tcW w:w="980" w:type="dxa"/>
            <w:vAlign w:val="bottom"/>
          </w:tcPr>
          <w:p>
            <w:pPr>
              <w:jc w:val="right"/>
              <w:ind w:right="154"/>
              <w:spacing w:after="0"/>
              <w:rPr>
                <w:sz w:val="20"/>
                <w:szCs w:val="20"/>
                <w:color w:val="auto"/>
              </w:rPr>
            </w:pPr>
            <w:r>
              <w:rPr>
                <w:rFonts w:ascii="Arial" w:cs="Arial" w:eastAsia="Arial" w:hAnsi="Arial"/>
                <w:sz w:val="13"/>
                <w:szCs w:val="13"/>
                <w:color w:val="auto"/>
              </w:rPr>
              <w:t>600,000</w:t>
            </w:r>
          </w:p>
        </w:tc>
        <w:tc>
          <w:tcPr>
            <w:tcW w:w="900" w:type="dxa"/>
            <w:vAlign w:val="bottom"/>
          </w:tcPr>
          <w:p>
            <w:pPr>
              <w:jc w:val="right"/>
              <w:ind w:right="154"/>
              <w:spacing w:after="0"/>
              <w:rPr>
                <w:sz w:val="20"/>
                <w:szCs w:val="20"/>
                <w:color w:val="auto"/>
              </w:rPr>
            </w:pPr>
            <w:r>
              <w:rPr>
                <w:rFonts w:ascii="Arial" w:cs="Arial" w:eastAsia="Arial" w:hAnsi="Arial"/>
                <w:sz w:val="13"/>
                <w:szCs w:val="13"/>
                <w:color w:val="auto"/>
              </w:rPr>
              <w:t>325,000</w:t>
            </w:r>
          </w:p>
        </w:tc>
        <w:tc>
          <w:tcPr>
            <w:tcW w:w="1060" w:type="dxa"/>
            <w:vAlign w:val="bottom"/>
          </w:tcPr>
          <w:p>
            <w:pPr>
              <w:jc w:val="right"/>
              <w:ind w:right="214"/>
              <w:spacing w:after="0"/>
              <w:rPr>
                <w:sz w:val="20"/>
                <w:szCs w:val="20"/>
                <w:color w:val="auto"/>
              </w:rPr>
            </w:pPr>
            <w:r>
              <w:rPr>
                <w:rFonts w:ascii="Arial" w:cs="Arial" w:eastAsia="Arial" w:hAnsi="Arial"/>
                <w:sz w:val="13"/>
                <w:szCs w:val="13"/>
                <w:color w:val="auto"/>
              </w:rPr>
              <w:t>3,970,373</w:t>
            </w:r>
          </w:p>
        </w:tc>
        <w:tc>
          <w:tcPr>
            <w:tcW w:w="82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211,500</w:t>
            </w:r>
          </w:p>
        </w:tc>
        <w:tc>
          <w:tcPr>
            <w:tcW w:w="118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4"/>
              <w:spacing w:after="0"/>
              <w:rPr>
                <w:sz w:val="20"/>
                <w:szCs w:val="20"/>
                <w:color w:val="auto"/>
              </w:rPr>
            </w:pPr>
            <w:r>
              <w:rPr>
                <w:rFonts w:ascii="Arial" w:cs="Arial" w:eastAsia="Arial" w:hAnsi="Arial"/>
                <w:sz w:val="13"/>
                <w:szCs w:val="13"/>
                <w:color w:val="auto"/>
              </w:rPr>
              <w:t>361,121</w:t>
            </w:r>
          </w:p>
        </w:tc>
        <w:tc>
          <w:tcPr>
            <w:tcW w:w="960" w:type="dxa"/>
            <w:vAlign w:val="bottom"/>
          </w:tcPr>
          <w:p>
            <w:pPr>
              <w:jc w:val="right"/>
              <w:ind w:right="34"/>
              <w:spacing w:after="0"/>
              <w:rPr>
                <w:sz w:val="20"/>
                <w:szCs w:val="20"/>
                <w:color w:val="auto"/>
              </w:rPr>
            </w:pPr>
            <w:r>
              <w:rPr>
                <w:rFonts w:ascii="Arial" w:cs="Arial" w:eastAsia="Arial" w:hAnsi="Arial"/>
                <w:sz w:val="13"/>
                <w:szCs w:val="13"/>
                <w:color w:val="auto"/>
              </w:rPr>
              <w:t>5,467,994</w:t>
            </w:r>
          </w:p>
        </w:tc>
      </w:tr>
      <w:tr>
        <w:trPr>
          <w:trHeight w:val="157"/>
        </w:trPr>
        <w:tc>
          <w:tcPr>
            <w:tcW w:w="226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Chief Financial Officer</w:t>
            </w: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color w:val="auto"/>
              </w:rPr>
              <w:t>2023</w:t>
            </w:r>
          </w:p>
        </w:tc>
        <w:tc>
          <w:tcPr>
            <w:tcW w:w="98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color w:val="auto"/>
              </w:rPr>
              <w:t>584,615</w:t>
            </w:r>
          </w:p>
        </w:tc>
        <w:tc>
          <w:tcPr>
            <w:tcW w:w="90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color w:val="auto"/>
              </w:rPr>
              <w:t>325,000</w:t>
            </w:r>
          </w:p>
        </w:tc>
        <w:tc>
          <w:tcPr>
            <w:tcW w:w="106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color w:val="auto"/>
              </w:rPr>
              <w:t>3,670,575</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765,000</w:t>
            </w: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color w:val="auto"/>
              </w:rPr>
              <w:t>335,884</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5,681,074</w:t>
            </w:r>
          </w:p>
        </w:tc>
      </w:tr>
      <w:tr>
        <w:trPr>
          <w:trHeight w:val="142"/>
        </w:trPr>
        <w:tc>
          <w:tcPr>
            <w:tcW w:w="2260" w:type="dxa"/>
            <w:vAlign w:val="bottom"/>
            <w:shd w:val="clear" w:color="auto" w:fill="E5E5E5"/>
          </w:tcPr>
          <w:p>
            <w:pPr>
              <w:spacing w:after="0" w:line="142" w:lineRule="exact"/>
              <w:rPr>
                <w:sz w:val="20"/>
                <w:szCs w:val="20"/>
                <w:color w:val="auto"/>
              </w:rPr>
            </w:pPr>
            <w:r>
              <w:rPr>
                <w:rFonts w:ascii="Arial" w:cs="Arial" w:eastAsia="Arial" w:hAnsi="Arial"/>
                <w:sz w:val="13"/>
                <w:szCs w:val="13"/>
                <w:b w:val="1"/>
                <w:bCs w:val="1"/>
                <w:color w:val="auto"/>
              </w:rPr>
              <w:t xml:space="preserve">Giles E. Harrison </w:t>
            </w:r>
            <w:r>
              <w:rPr>
                <w:rFonts w:ascii="Arial" w:cs="Arial" w:eastAsia="Arial" w:hAnsi="Arial"/>
                <w:sz w:val="13"/>
                <w:szCs w:val="13"/>
                <w:color w:val="auto"/>
              </w:rPr>
              <w:t>(g)</w:t>
            </w:r>
          </w:p>
        </w:tc>
        <w:tc>
          <w:tcPr>
            <w:tcW w:w="720" w:type="dxa"/>
            <w:vAlign w:val="bottom"/>
            <w:shd w:val="clear" w:color="auto" w:fill="E5E5E5"/>
          </w:tcPr>
          <w:p>
            <w:pPr>
              <w:jc w:val="right"/>
              <w:ind w:right="194"/>
              <w:spacing w:after="0" w:line="142" w:lineRule="exact"/>
              <w:rPr>
                <w:sz w:val="20"/>
                <w:szCs w:val="20"/>
                <w:color w:val="auto"/>
              </w:rPr>
            </w:pPr>
            <w:r>
              <w:rPr>
                <w:rFonts w:ascii="Arial" w:cs="Arial" w:eastAsia="Arial" w:hAnsi="Arial"/>
                <w:sz w:val="13"/>
                <w:szCs w:val="13"/>
                <w:color w:val="auto"/>
              </w:rPr>
              <w:t>2025</w:t>
            </w:r>
          </w:p>
        </w:tc>
        <w:tc>
          <w:tcPr>
            <w:tcW w:w="980" w:type="dxa"/>
            <w:vAlign w:val="bottom"/>
            <w:shd w:val="clear" w:color="auto" w:fill="E5E5E5"/>
          </w:tcPr>
          <w:p>
            <w:pPr>
              <w:jc w:val="right"/>
              <w:ind w:right="154"/>
              <w:spacing w:after="0" w:line="142" w:lineRule="exact"/>
              <w:rPr>
                <w:sz w:val="20"/>
                <w:szCs w:val="20"/>
                <w:color w:val="auto"/>
              </w:rPr>
            </w:pPr>
            <w:r>
              <w:rPr>
                <w:rFonts w:ascii="Arial" w:cs="Arial" w:eastAsia="Arial" w:hAnsi="Arial"/>
                <w:sz w:val="13"/>
                <w:szCs w:val="13"/>
                <w:color w:val="auto"/>
              </w:rPr>
              <w:t>600,000</w:t>
            </w:r>
          </w:p>
        </w:tc>
        <w:tc>
          <w:tcPr>
            <w:tcW w:w="900" w:type="dxa"/>
            <w:vAlign w:val="bottom"/>
            <w:shd w:val="clear" w:color="auto" w:fill="E5E5E5"/>
          </w:tcPr>
          <w:p>
            <w:pPr>
              <w:jc w:val="right"/>
              <w:ind w:right="154"/>
              <w:spacing w:after="0" w:line="142" w:lineRule="exact"/>
              <w:rPr>
                <w:sz w:val="20"/>
                <w:szCs w:val="20"/>
                <w:color w:val="auto"/>
              </w:rPr>
            </w:pPr>
            <w:r>
              <w:rPr>
                <w:rFonts w:ascii="Arial" w:cs="Arial" w:eastAsia="Arial" w:hAnsi="Arial"/>
                <w:sz w:val="13"/>
                <w:szCs w:val="13"/>
                <w:color w:val="auto"/>
              </w:rPr>
              <w:t>250,000</w:t>
            </w:r>
          </w:p>
        </w:tc>
        <w:tc>
          <w:tcPr>
            <w:tcW w:w="1060" w:type="dxa"/>
            <w:vAlign w:val="bottom"/>
            <w:shd w:val="clear" w:color="auto" w:fill="E5E5E5"/>
          </w:tcPr>
          <w:p>
            <w:pPr>
              <w:jc w:val="right"/>
              <w:ind w:right="214"/>
              <w:spacing w:after="0" w:line="142" w:lineRule="exact"/>
              <w:rPr>
                <w:sz w:val="20"/>
                <w:szCs w:val="20"/>
                <w:color w:val="auto"/>
              </w:rPr>
            </w:pPr>
            <w:r>
              <w:rPr>
                <w:rFonts w:ascii="Arial" w:cs="Arial" w:eastAsia="Arial" w:hAnsi="Arial"/>
                <w:sz w:val="13"/>
                <w:szCs w:val="13"/>
                <w:color w:val="auto"/>
              </w:rPr>
              <w:t>3,297,942</w:t>
            </w:r>
          </w:p>
        </w:tc>
        <w:tc>
          <w:tcPr>
            <w:tcW w:w="820" w:type="dxa"/>
            <w:vAlign w:val="bottom"/>
            <w:shd w:val="clear" w:color="auto" w:fill="E5E5E5"/>
          </w:tcPr>
          <w:p>
            <w:pPr>
              <w:jc w:val="right"/>
              <w:ind w:right="14"/>
              <w:spacing w:after="0" w:line="142" w:lineRule="exact"/>
              <w:rPr>
                <w:sz w:val="20"/>
                <w:szCs w:val="20"/>
                <w:color w:val="auto"/>
              </w:rPr>
            </w:pPr>
            <w:r>
              <w:rPr>
                <w:rFonts w:ascii="Arial" w:cs="Arial" w:eastAsia="Arial" w:hAnsi="Arial"/>
                <w:sz w:val="13"/>
                <w:szCs w:val="13"/>
                <w:color w:val="auto"/>
              </w:rPr>
              <w:t>-</w:t>
            </w:r>
          </w:p>
        </w:tc>
        <w:tc>
          <w:tcPr>
            <w:tcW w:w="1100" w:type="dxa"/>
            <w:vAlign w:val="bottom"/>
            <w:shd w:val="clear" w:color="auto" w:fill="E5E5E5"/>
          </w:tcPr>
          <w:p>
            <w:pPr>
              <w:jc w:val="right"/>
              <w:ind w:right="114"/>
              <w:spacing w:after="0" w:line="142" w:lineRule="exact"/>
              <w:rPr>
                <w:sz w:val="20"/>
                <w:szCs w:val="20"/>
                <w:color w:val="auto"/>
              </w:rPr>
            </w:pPr>
            <w:r>
              <w:rPr>
                <w:rFonts w:ascii="Arial" w:cs="Arial" w:eastAsia="Arial" w:hAnsi="Arial"/>
                <w:sz w:val="13"/>
                <w:szCs w:val="13"/>
                <w:color w:val="auto"/>
              </w:rPr>
              <w:t>1,200,000</w:t>
            </w:r>
          </w:p>
        </w:tc>
        <w:tc>
          <w:tcPr>
            <w:tcW w:w="1180" w:type="dxa"/>
            <w:vAlign w:val="bottom"/>
            <w:shd w:val="clear" w:color="auto" w:fill="E5E5E5"/>
          </w:tcPr>
          <w:p>
            <w:pPr>
              <w:jc w:val="right"/>
              <w:ind w:right="54"/>
              <w:spacing w:after="0" w:line="142" w:lineRule="exact"/>
              <w:rPr>
                <w:sz w:val="20"/>
                <w:szCs w:val="20"/>
                <w:color w:val="auto"/>
              </w:rPr>
            </w:pPr>
            <w:r>
              <w:rPr>
                <w:rFonts w:ascii="Arial" w:cs="Arial" w:eastAsia="Arial" w:hAnsi="Arial"/>
                <w:sz w:val="13"/>
                <w:szCs w:val="13"/>
                <w:color w:val="auto"/>
              </w:rPr>
              <w:t>-</w:t>
            </w:r>
          </w:p>
        </w:tc>
        <w:tc>
          <w:tcPr>
            <w:tcW w:w="1260" w:type="dxa"/>
            <w:vAlign w:val="bottom"/>
            <w:shd w:val="clear" w:color="auto" w:fill="E5E5E5"/>
          </w:tcPr>
          <w:p>
            <w:pPr>
              <w:jc w:val="right"/>
              <w:ind w:right="194"/>
              <w:spacing w:after="0" w:line="142" w:lineRule="exact"/>
              <w:rPr>
                <w:sz w:val="20"/>
                <w:szCs w:val="20"/>
                <w:color w:val="auto"/>
              </w:rPr>
            </w:pPr>
            <w:r>
              <w:rPr>
                <w:rFonts w:ascii="Arial" w:cs="Arial" w:eastAsia="Arial" w:hAnsi="Arial"/>
                <w:sz w:val="13"/>
                <w:szCs w:val="13"/>
                <w:color w:val="auto"/>
              </w:rPr>
              <w:t>20,808</w:t>
            </w:r>
          </w:p>
        </w:tc>
        <w:tc>
          <w:tcPr>
            <w:tcW w:w="960" w:type="dxa"/>
            <w:vAlign w:val="bottom"/>
            <w:shd w:val="clear" w:color="auto" w:fill="E5E5E5"/>
          </w:tcPr>
          <w:p>
            <w:pPr>
              <w:jc w:val="right"/>
              <w:ind w:right="34"/>
              <w:spacing w:after="0" w:line="142" w:lineRule="exact"/>
              <w:rPr>
                <w:sz w:val="20"/>
                <w:szCs w:val="20"/>
                <w:color w:val="auto"/>
              </w:rPr>
            </w:pPr>
            <w:r>
              <w:rPr>
                <w:rFonts w:ascii="Arial" w:cs="Arial" w:eastAsia="Arial" w:hAnsi="Arial"/>
                <w:sz w:val="13"/>
                <w:szCs w:val="13"/>
                <w:color w:val="auto"/>
              </w:rPr>
              <w:t>5,368,750</w:t>
            </w:r>
          </w:p>
        </w:tc>
      </w:tr>
      <w:tr>
        <w:trPr>
          <w:trHeight w:val="149"/>
        </w:trPr>
        <w:tc>
          <w:tcPr>
            <w:tcW w:w="2260" w:type="dxa"/>
            <w:vAlign w:val="bottom"/>
            <w:shd w:val="clear" w:color="auto" w:fill="E5E5E5"/>
          </w:tcPr>
          <w:p>
            <w:pPr>
              <w:spacing w:after="0"/>
              <w:rPr>
                <w:sz w:val="20"/>
                <w:szCs w:val="20"/>
                <w:color w:val="auto"/>
              </w:rPr>
            </w:pPr>
            <w:r>
              <w:rPr>
                <w:rFonts w:ascii="Arial" w:cs="Arial" w:eastAsia="Arial" w:hAnsi="Arial"/>
                <w:sz w:val="13"/>
                <w:szCs w:val="13"/>
                <w:color w:val="auto"/>
              </w:rPr>
              <w:t>Executive Vice President &amp;</w:t>
            </w: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3"/>
                <w:szCs w:val="13"/>
                <w:color w:val="auto"/>
              </w:rPr>
              <w:t>2024</w:t>
            </w:r>
          </w:p>
        </w:tc>
        <w:tc>
          <w:tcPr>
            <w:tcW w:w="980" w:type="dxa"/>
            <w:vAlign w:val="bottom"/>
            <w:shd w:val="clear" w:color="auto" w:fill="E5E5E5"/>
          </w:tcPr>
          <w:p>
            <w:pPr>
              <w:jc w:val="right"/>
              <w:ind w:right="154"/>
              <w:spacing w:after="0"/>
              <w:rPr>
                <w:sz w:val="20"/>
                <w:szCs w:val="20"/>
                <w:color w:val="auto"/>
              </w:rPr>
            </w:pPr>
            <w:r>
              <w:rPr>
                <w:rFonts w:ascii="Arial" w:cs="Arial" w:eastAsia="Arial" w:hAnsi="Arial"/>
                <w:sz w:val="13"/>
                <w:szCs w:val="13"/>
                <w:color w:val="auto"/>
              </w:rPr>
              <w:t>334,615</w:t>
            </w:r>
          </w:p>
        </w:tc>
        <w:tc>
          <w:tcPr>
            <w:tcW w:w="900" w:type="dxa"/>
            <w:vAlign w:val="bottom"/>
            <w:shd w:val="clear" w:color="auto" w:fill="E5E5E5"/>
          </w:tcPr>
          <w:p>
            <w:pPr>
              <w:jc w:val="right"/>
              <w:ind w:right="154"/>
              <w:spacing w:after="0"/>
              <w:rPr>
                <w:sz w:val="20"/>
                <w:szCs w:val="20"/>
                <w:color w:val="auto"/>
              </w:rPr>
            </w:pPr>
            <w:r>
              <w:rPr>
                <w:rFonts w:ascii="Arial" w:cs="Arial" w:eastAsia="Arial" w:hAnsi="Arial"/>
                <w:sz w:val="13"/>
                <w:szCs w:val="13"/>
                <w:color w:val="auto"/>
              </w:rPr>
              <w:t>250,000</w:t>
            </w:r>
          </w:p>
        </w:tc>
        <w:tc>
          <w:tcPr>
            <w:tcW w:w="1060" w:type="dxa"/>
            <w:vAlign w:val="bottom"/>
            <w:shd w:val="clear" w:color="auto" w:fill="E5E5E5"/>
          </w:tcPr>
          <w:p>
            <w:pPr>
              <w:jc w:val="right"/>
              <w:ind w:right="214"/>
              <w:spacing w:after="0"/>
              <w:rPr>
                <w:sz w:val="20"/>
                <w:szCs w:val="20"/>
                <w:color w:val="auto"/>
              </w:rPr>
            </w:pPr>
            <w:r>
              <w:rPr>
                <w:rFonts w:ascii="Arial" w:cs="Arial" w:eastAsia="Arial" w:hAnsi="Arial"/>
                <w:sz w:val="13"/>
                <w:szCs w:val="13"/>
                <w:color w:val="auto"/>
              </w:rPr>
              <w:t>3,454,400</w:t>
            </w:r>
          </w:p>
        </w:tc>
        <w:tc>
          <w:tcPr>
            <w:tcW w:w="82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w:t>
            </w:r>
          </w:p>
        </w:tc>
        <w:tc>
          <w:tcPr>
            <w:tcW w:w="1100" w:type="dxa"/>
            <w:vAlign w:val="bottom"/>
            <w:shd w:val="clear" w:color="auto" w:fill="E5E5E5"/>
          </w:tcPr>
          <w:p>
            <w:pPr>
              <w:jc w:val="right"/>
              <w:ind w:right="114"/>
              <w:spacing w:after="0"/>
              <w:rPr>
                <w:sz w:val="20"/>
                <w:szCs w:val="20"/>
                <w:color w:val="auto"/>
              </w:rPr>
            </w:pPr>
            <w:r>
              <w:rPr>
                <w:rFonts w:ascii="Arial" w:cs="Arial" w:eastAsia="Arial" w:hAnsi="Arial"/>
                <w:sz w:val="13"/>
                <w:szCs w:val="13"/>
                <w:color w:val="auto"/>
              </w:rPr>
              <w:t>211,500</w:t>
            </w:r>
          </w:p>
        </w:tc>
        <w:tc>
          <w:tcPr>
            <w:tcW w:w="1180" w:type="dxa"/>
            <w:vAlign w:val="bottom"/>
            <w:shd w:val="clear" w:color="auto" w:fill="E5E5E5"/>
          </w:tcPr>
          <w:p>
            <w:pPr>
              <w:jc w:val="right"/>
              <w:ind w:right="54"/>
              <w:spacing w:after="0"/>
              <w:rPr>
                <w:sz w:val="20"/>
                <w:szCs w:val="20"/>
                <w:color w:val="auto"/>
              </w:rPr>
            </w:pPr>
            <w:r>
              <w:rPr>
                <w:rFonts w:ascii="Arial" w:cs="Arial" w:eastAsia="Arial" w:hAnsi="Arial"/>
                <w:sz w:val="13"/>
                <w:szCs w:val="13"/>
                <w:color w:val="auto"/>
              </w:rPr>
              <w:t>-</w:t>
            </w:r>
          </w:p>
        </w:tc>
        <w:tc>
          <w:tcPr>
            <w:tcW w:w="1260" w:type="dxa"/>
            <w:vAlign w:val="bottom"/>
            <w:shd w:val="clear" w:color="auto" w:fill="E5E5E5"/>
          </w:tcPr>
          <w:p>
            <w:pPr>
              <w:jc w:val="right"/>
              <w:ind w:right="194"/>
              <w:spacing w:after="0"/>
              <w:rPr>
                <w:sz w:val="20"/>
                <w:szCs w:val="20"/>
                <w:color w:val="auto"/>
              </w:rPr>
            </w:pPr>
            <w:r>
              <w:rPr>
                <w:rFonts w:ascii="Arial" w:cs="Arial" w:eastAsia="Arial" w:hAnsi="Arial"/>
                <w:sz w:val="13"/>
                <w:szCs w:val="13"/>
                <w:color w:val="auto"/>
              </w:rPr>
              <w:t>43,547</w:t>
            </w:r>
          </w:p>
        </w:tc>
        <w:tc>
          <w:tcPr>
            <w:tcW w:w="960" w:type="dxa"/>
            <w:vAlign w:val="bottom"/>
            <w:shd w:val="clear" w:color="auto" w:fill="E5E5E5"/>
          </w:tcPr>
          <w:p>
            <w:pPr>
              <w:jc w:val="right"/>
              <w:ind w:right="34"/>
              <w:spacing w:after="0"/>
              <w:rPr>
                <w:sz w:val="20"/>
                <w:szCs w:val="20"/>
                <w:color w:val="auto"/>
              </w:rPr>
            </w:pPr>
            <w:r>
              <w:rPr>
                <w:rFonts w:ascii="Arial" w:cs="Arial" w:eastAsia="Arial" w:hAnsi="Arial"/>
                <w:sz w:val="13"/>
                <w:szCs w:val="13"/>
                <w:color w:val="auto"/>
              </w:rPr>
              <w:t>4,294,062</w:t>
            </w:r>
          </w:p>
        </w:tc>
      </w:tr>
      <w:tr>
        <w:trPr>
          <w:trHeight w:val="149"/>
        </w:trPr>
        <w:tc>
          <w:tcPr>
            <w:tcW w:w="226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3"/>
                <w:szCs w:val="13"/>
                <w:color w:val="auto"/>
              </w:rPr>
              <w:t>Chief Strategy Officer</w:t>
            </w:r>
          </w:p>
        </w:tc>
        <w:tc>
          <w:tcPr>
            <w:tcW w:w="720" w:type="dxa"/>
            <w:vAlign w:val="bottom"/>
            <w:tcBorders>
              <w:bottom w:val="single" w:sz="8" w:color="auto"/>
            </w:tcBorders>
            <w:shd w:val="clear" w:color="auto" w:fill="E5E5E5"/>
          </w:tcPr>
          <w:p>
            <w:pPr>
              <w:spacing w:after="0"/>
              <w:rPr>
                <w:sz w:val="12"/>
                <w:szCs w:val="12"/>
                <w:color w:val="auto"/>
              </w:rPr>
            </w:pPr>
          </w:p>
        </w:tc>
        <w:tc>
          <w:tcPr>
            <w:tcW w:w="980" w:type="dxa"/>
            <w:vAlign w:val="bottom"/>
            <w:tcBorders>
              <w:bottom w:val="single" w:sz="8" w:color="auto"/>
            </w:tcBorders>
            <w:shd w:val="clear" w:color="auto" w:fill="E5E5E5"/>
          </w:tcPr>
          <w:p>
            <w:pPr>
              <w:spacing w:after="0"/>
              <w:rPr>
                <w:sz w:val="12"/>
                <w:szCs w:val="12"/>
                <w:color w:val="auto"/>
              </w:rPr>
            </w:pPr>
          </w:p>
        </w:tc>
        <w:tc>
          <w:tcPr>
            <w:tcW w:w="900" w:type="dxa"/>
            <w:vAlign w:val="bottom"/>
            <w:tcBorders>
              <w:bottom w:val="single" w:sz="8" w:color="auto"/>
            </w:tcBorders>
            <w:shd w:val="clear" w:color="auto" w:fill="E5E5E5"/>
          </w:tcPr>
          <w:p>
            <w:pPr>
              <w:spacing w:after="0"/>
              <w:rPr>
                <w:sz w:val="12"/>
                <w:szCs w:val="12"/>
                <w:color w:val="auto"/>
              </w:rPr>
            </w:pPr>
          </w:p>
        </w:tc>
        <w:tc>
          <w:tcPr>
            <w:tcW w:w="1060" w:type="dxa"/>
            <w:vAlign w:val="bottom"/>
            <w:tcBorders>
              <w:bottom w:val="single" w:sz="8" w:color="auto"/>
            </w:tcBorders>
            <w:shd w:val="clear" w:color="auto" w:fill="E5E5E5"/>
          </w:tcPr>
          <w:p>
            <w:pPr>
              <w:spacing w:after="0"/>
              <w:rPr>
                <w:sz w:val="12"/>
                <w:szCs w:val="12"/>
                <w:color w:val="auto"/>
              </w:rPr>
            </w:pPr>
          </w:p>
        </w:tc>
        <w:tc>
          <w:tcPr>
            <w:tcW w:w="820" w:type="dxa"/>
            <w:vAlign w:val="bottom"/>
            <w:tcBorders>
              <w:bottom w:val="single" w:sz="8" w:color="auto"/>
            </w:tcBorders>
            <w:shd w:val="clear" w:color="auto" w:fill="E5E5E5"/>
          </w:tcPr>
          <w:p>
            <w:pPr>
              <w:spacing w:after="0"/>
              <w:rPr>
                <w:sz w:val="12"/>
                <w:szCs w:val="12"/>
                <w:color w:val="auto"/>
              </w:rPr>
            </w:pPr>
          </w:p>
        </w:tc>
        <w:tc>
          <w:tcPr>
            <w:tcW w:w="1100" w:type="dxa"/>
            <w:vAlign w:val="bottom"/>
            <w:tcBorders>
              <w:bottom w:val="single" w:sz="8" w:color="auto"/>
            </w:tcBorders>
            <w:shd w:val="clear" w:color="auto" w:fill="E5E5E5"/>
          </w:tcPr>
          <w:p>
            <w:pPr>
              <w:spacing w:after="0"/>
              <w:rPr>
                <w:sz w:val="12"/>
                <w:szCs w:val="12"/>
                <w:color w:val="auto"/>
              </w:rPr>
            </w:pPr>
          </w:p>
        </w:tc>
        <w:tc>
          <w:tcPr>
            <w:tcW w:w="1180" w:type="dxa"/>
            <w:vAlign w:val="bottom"/>
            <w:tcBorders>
              <w:bottom w:val="single" w:sz="8" w:color="auto"/>
            </w:tcBorders>
            <w:shd w:val="clear" w:color="auto" w:fill="E5E5E5"/>
          </w:tcPr>
          <w:p>
            <w:pPr>
              <w:spacing w:after="0"/>
              <w:rPr>
                <w:sz w:val="12"/>
                <w:szCs w:val="12"/>
                <w:color w:val="auto"/>
              </w:rPr>
            </w:pPr>
          </w:p>
        </w:tc>
        <w:tc>
          <w:tcPr>
            <w:tcW w:w="1260" w:type="dxa"/>
            <w:vAlign w:val="bottom"/>
            <w:tcBorders>
              <w:bottom w:val="single" w:sz="8" w:color="auto"/>
            </w:tcBorders>
            <w:shd w:val="clear" w:color="auto" w:fill="E5E5E5"/>
          </w:tcPr>
          <w:p>
            <w:pPr>
              <w:spacing w:after="0"/>
              <w:rPr>
                <w:sz w:val="12"/>
                <w:szCs w:val="12"/>
                <w:color w:val="auto"/>
              </w:rPr>
            </w:pPr>
          </w:p>
        </w:tc>
        <w:tc>
          <w:tcPr>
            <w:tcW w:w="960" w:type="dxa"/>
            <w:vAlign w:val="bottom"/>
            <w:tcBorders>
              <w:bottom w:val="single" w:sz="8" w:color="auto"/>
            </w:tcBorders>
            <w:shd w:val="clear" w:color="auto" w:fill="E5E5E5"/>
          </w:tcPr>
          <w:p>
            <w:pPr>
              <w:spacing w:after="0"/>
              <w:rPr>
                <w:sz w:val="12"/>
                <w:szCs w:val="12"/>
                <w:color w:val="auto"/>
              </w:rPr>
            </w:pPr>
          </w:p>
        </w:tc>
      </w:tr>
      <w:tr>
        <w:trPr>
          <w:trHeight w:val="134"/>
        </w:trPr>
        <w:tc>
          <w:tcPr>
            <w:tcW w:w="2260" w:type="dxa"/>
            <w:vAlign w:val="bottom"/>
          </w:tcPr>
          <w:p>
            <w:pPr>
              <w:spacing w:after="0" w:line="134" w:lineRule="exact"/>
              <w:rPr>
                <w:sz w:val="20"/>
                <w:szCs w:val="20"/>
                <w:color w:val="auto"/>
              </w:rPr>
            </w:pPr>
            <w:r>
              <w:rPr>
                <w:rFonts w:ascii="Arial" w:cs="Arial" w:eastAsia="Arial" w:hAnsi="Arial"/>
                <w:sz w:val="13"/>
                <w:szCs w:val="13"/>
                <w:b w:val="1"/>
                <w:bCs w:val="1"/>
                <w:color w:val="auto"/>
              </w:rPr>
              <w:t>Robert L. Seelig</w:t>
            </w:r>
          </w:p>
        </w:tc>
        <w:tc>
          <w:tcPr>
            <w:tcW w:w="720" w:type="dxa"/>
            <w:vAlign w:val="bottom"/>
          </w:tcPr>
          <w:p>
            <w:pPr>
              <w:jc w:val="right"/>
              <w:ind w:right="194"/>
              <w:spacing w:after="0" w:line="134" w:lineRule="exact"/>
              <w:rPr>
                <w:sz w:val="20"/>
                <w:szCs w:val="20"/>
                <w:color w:val="auto"/>
              </w:rPr>
            </w:pPr>
            <w:r>
              <w:rPr>
                <w:rFonts w:ascii="Arial" w:cs="Arial" w:eastAsia="Arial" w:hAnsi="Arial"/>
                <w:sz w:val="13"/>
                <w:szCs w:val="13"/>
                <w:color w:val="auto"/>
              </w:rPr>
              <w:t>2025</w:t>
            </w:r>
          </w:p>
        </w:tc>
        <w:tc>
          <w:tcPr>
            <w:tcW w:w="980" w:type="dxa"/>
            <w:vAlign w:val="bottom"/>
          </w:tcPr>
          <w:p>
            <w:pPr>
              <w:jc w:val="right"/>
              <w:ind w:right="154"/>
              <w:spacing w:after="0" w:line="134" w:lineRule="exact"/>
              <w:rPr>
                <w:sz w:val="20"/>
                <w:szCs w:val="20"/>
                <w:color w:val="auto"/>
              </w:rPr>
            </w:pPr>
            <w:r>
              <w:rPr>
                <w:rFonts w:ascii="Arial" w:cs="Arial" w:eastAsia="Arial" w:hAnsi="Arial"/>
                <w:sz w:val="13"/>
                <w:szCs w:val="13"/>
                <w:color w:val="auto"/>
              </w:rPr>
              <w:t>600,000</w:t>
            </w:r>
          </w:p>
        </w:tc>
        <w:tc>
          <w:tcPr>
            <w:tcW w:w="900" w:type="dxa"/>
            <w:vAlign w:val="bottom"/>
          </w:tcPr>
          <w:p>
            <w:pPr>
              <w:jc w:val="right"/>
              <w:ind w:right="154"/>
              <w:spacing w:after="0" w:line="134"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214"/>
              <w:spacing w:after="0" w:line="134" w:lineRule="exact"/>
              <w:rPr>
                <w:sz w:val="20"/>
                <w:szCs w:val="20"/>
                <w:color w:val="auto"/>
              </w:rPr>
            </w:pPr>
            <w:r>
              <w:rPr>
                <w:rFonts w:ascii="Arial" w:cs="Arial" w:eastAsia="Arial" w:hAnsi="Arial"/>
                <w:sz w:val="13"/>
                <w:szCs w:val="13"/>
                <w:color w:val="auto"/>
              </w:rPr>
              <w:t>3,023,114</w:t>
            </w:r>
          </w:p>
        </w:tc>
        <w:tc>
          <w:tcPr>
            <w:tcW w:w="820" w:type="dxa"/>
            <w:vAlign w:val="bottom"/>
          </w:tcPr>
          <w:p>
            <w:pPr>
              <w:jc w:val="right"/>
              <w:ind w:right="14"/>
              <w:spacing w:after="0" w:line="134"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114"/>
              <w:spacing w:after="0" w:line="134" w:lineRule="exact"/>
              <w:rPr>
                <w:sz w:val="20"/>
                <w:szCs w:val="20"/>
                <w:color w:val="auto"/>
              </w:rPr>
            </w:pPr>
            <w:r>
              <w:rPr>
                <w:rFonts w:ascii="Arial" w:cs="Arial" w:eastAsia="Arial" w:hAnsi="Arial"/>
                <w:sz w:val="13"/>
                <w:szCs w:val="13"/>
                <w:color w:val="auto"/>
              </w:rPr>
              <w:t>1,200,000</w:t>
            </w:r>
          </w:p>
        </w:tc>
        <w:tc>
          <w:tcPr>
            <w:tcW w:w="1180" w:type="dxa"/>
            <w:vAlign w:val="bottom"/>
          </w:tcPr>
          <w:p>
            <w:pPr>
              <w:jc w:val="right"/>
              <w:ind w:right="54"/>
              <w:spacing w:after="0" w:line="134"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194"/>
              <w:spacing w:after="0" w:line="134" w:lineRule="exact"/>
              <w:rPr>
                <w:sz w:val="20"/>
                <w:szCs w:val="20"/>
                <w:color w:val="auto"/>
              </w:rPr>
            </w:pPr>
            <w:r>
              <w:rPr>
                <w:rFonts w:ascii="Arial" w:cs="Arial" w:eastAsia="Arial" w:hAnsi="Arial"/>
                <w:sz w:val="13"/>
                <w:szCs w:val="13"/>
                <w:color w:val="auto"/>
              </w:rPr>
              <w:t>119,020</w:t>
            </w:r>
          </w:p>
        </w:tc>
        <w:tc>
          <w:tcPr>
            <w:tcW w:w="960" w:type="dxa"/>
            <w:vAlign w:val="bottom"/>
          </w:tcPr>
          <w:p>
            <w:pPr>
              <w:jc w:val="right"/>
              <w:ind w:right="34"/>
              <w:spacing w:after="0" w:line="134" w:lineRule="exact"/>
              <w:rPr>
                <w:sz w:val="20"/>
                <w:szCs w:val="20"/>
                <w:color w:val="auto"/>
              </w:rPr>
            </w:pPr>
            <w:r>
              <w:rPr>
                <w:rFonts w:ascii="Arial" w:cs="Arial" w:eastAsia="Arial" w:hAnsi="Arial"/>
                <w:sz w:val="13"/>
                <w:szCs w:val="13"/>
                <w:color w:val="auto"/>
              </w:rPr>
              <w:t>4,942,134</w:t>
            </w:r>
          </w:p>
        </w:tc>
      </w:tr>
      <w:tr>
        <w:trPr>
          <w:trHeight w:val="149"/>
        </w:trPr>
        <w:tc>
          <w:tcPr>
            <w:tcW w:w="2260" w:type="dxa"/>
            <w:vAlign w:val="bottom"/>
          </w:tcPr>
          <w:p>
            <w:pPr>
              <w:spacing w:after="0"/>
              <w:rPr>
                <w:sz w:val="20"/>
                <w:szCs w:val="20"/>
                <w:color w:val="auto"/>
              </w:rPr>
            </w:pPr>
            <w:r>
              <w:rPr>
                <w:rFonts w:ascii="Arial" w:cs="Arial" w:eastAsia="Arial" w:hAnsi="Arial"/>
                <w:sz w:val="13"/>
                <w:szCs w:val="13"/>
                <w:color w:val="auto"/>
              </w:rPr>
              <w:t>Executive Vice President &amp;</w:t>
            </w:r>
          </w:p>
        </w:tc>
        <w:tc>
          <w:tcPr>
            <w:tcW w:w="720" w:type="dxa"/>
            <w:vAlign w:val="bottom"/>
          </w:tcPr>
          <w:p>
            <w:pPr>
              <w:jc w:val="right"/>
              <w:ind w:right="194"/>
              <w:spacing w:after="0"/>
              <w:rPr>
                <w:sz w:val="20"/>
                <w:szCs w:val="20"/>
                <w:color w:val="auto"/>
              </w:rPr>
            </w:pPr>
            <w:r>
              <w:rPr>
                <w:rFonts w:ascii="Arial" w:cs="Arial" w:eastAsia="Arial" w:hAnsi="Arial"/>
                <w:sz w:val="13"/>
                <w:szCs w:val="13"/>
                <w:color w:val="auto"/>
              </w:rPr>
              <w:t>2024</w:t>
            </w:r>
          </w:p>
        </w:tc>
        <w:tc>
          <w:tcPr>
            <w:tcW w:w="980" w:type="dxa"/>
            <w:vAlign w:val="bottom"/>
          </w:tcPr>
          <w:p>
            <w:pPr>
              <w:jc w:val="right"/>
              <w:ind w:right="154"/>
              <w:spacing w:after="0"/>
              <w:rPr>
                <w:sz w:val="20"/>
                <w:szCs w:val="20"/>
                <w:color w:val="auto"/>
              </w:rPr>
            </w:pPr>
            <w:r>
              <w:rPr>
                <w:rFonts w:ascii="Arial" w:cs="Arial" w:eastAsia="Arial" w:hAnsi="Arial"/>
                <w:sz w:val="13"/>
                <w:szCs w:val="13"/>
                <w:color w:val="auto"/>
              </w:rPr>
              <w:t>600,000</w:t>
            </w:r>
          </w:p>
        </w:tc>
        <w:tc>
          <w:tcPr>
            <w:tcW w:w="90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14"/>
              <w:spacing w:after="0"/>
              <w:rPr>
                <w:sz w:val="20"/>
                <w:szCs w:val="20"/>
                <w:color w:val="auto"/>
              </w:rPr>
            </w:pPr>
            <w:r>
              <w:rPr>
                <w:rFonts w:ascii="Arial" w:cs="Arial" w:eastAsia="Arial" w:hAnsi="Arial"/>
                <w:sz w:val="13"/>
                <w:szCs w:val="13"/>
                <w:color w:val="auto"/>
              </w:rPr>
              <w:t>3,176,298</w:t>
            </w:r>
          </w:p>
        </w:tc>
        <w:tc>
          <w:tcPr>
            <w:tcW w:w="82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211,500</w:t>
            </w:r>
          </w:p>
        </w:tc>
        <w:tc>
          <w:tcPr>
            <w:tcW w:w="118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4"/>
              <w:spacing w:after="0"/>
              <w:rPr>
                <w:sz w:val="20"/>
                <w:szCs w:val="20"/>
                <w:color w:val="auto"/>
              </w:rPr>
            </w:pPr>
            <w:r>
              <w:rPr>
                <w:rFonts w:ascii="Arial" w:cs="Arial" w:eastAsia="Arial" w:hAnsi="Arial"/>
                <w:sz w:val="13"/>
                <w:szCs w:val="13"/>
                <w:color w:val="auto"/>
              </w:rPr>
              <w:t>152,703</w:t>
            </w:r>
          </w:p>
        </w:tc>
        <w:tc>
          <w:tcPr>
            <w:tcW w:w="960" w:type="dxa"/>
            <w:vAlign w:val="bottom"/>
          </w:tcPr>
          <w:p>
            <w:pPr>
              <w:jc w:val="right"/>
              <w:ind w:right="34"/>
              <w:spacing w:after="0"/>
              <w:rPr>
                <w:sz w:val="20"/>
                <w:szCs w:val="20"/>
                <w:color w:val="auto"/>
              </w:rPr>
            </w:pPr>
            <w:r>
              <w:rPr>
                <w:rFonts w:ascii="Arial" w:cs="Arial" w:eastAsia="Arial" w:hAnsi="Arial"/>
                <w:sz w:val="13"/>
                <w:szCs w:val="13"/>
                <w:color w:val="auto"/>
              </w:rPr>
              <w:t>4,140,501</w:t>
            </w:r>
          </w:p>
        </w:tc>
      </w:tr>
      <w:tr>
        <w:trPr>
          <w:trHeight w:val="157"/>
        </w:trPr>
        <w:tc>
          <w:tcPr>
            <w:tcW w:w="226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General Counsel</w:t>
            </w: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color w:val="auto"/>
              </w:rPr>
              <w:t>2023</w:t>
            </w:r>
          </w:p>
        </w:tc>
        <w:tc>
          <w:tcPr>
            <w:tcW w:w="98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color w:val="auto"/>
              </w:rPr>
              <w:t>584,615</w:t>
            </w:r>
          </w:p>
        </w:tc>
        <w:tc>
          <w:tcPr>
            <w:tcW w:w="90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color w:val="auto"/>
              </w:rPr>
              <w:t>2,936,460</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765,000</w:t>
            </w: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color w:val="auto"/>
              </w:rPr>
              <w:t>116,223</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4,402,298</w:t>
            </w:r>
          </w:p>
        </w:tc>
      </w:tr>
      <w:tr>
        <w:trPr>
          <w:trHeight w:val="142"/>
        </w:trPr>
        <w:tc>
          <w:tcPr>
            <w:tcW w:w="2260" w:type="dxa"/>
            <w:vAlign w:val="bottom"/>
            <w:shd w:val="clear" w:color="auto" w:fill="E7E6E6"/>
          </w:tcPr>
          <w:p>
            <w:pPr>
              <w:spacing w:after="0" w:line="142" w:lineRule="exact"/>
              <w:rPr>
                <w:sz w:val="20"/>
                <w:szCs w:val="20"/>
                <w:color w:val="auto"/>
              </w:rPr>
            </w:pPr>
            <w:r>
              <w:rPr>
                <w:rFonts w:ascii="Arial" w:cs="Arial" w:eastAsia="Arial" w:hAnsi="Arial"/>
                <w:sz w:val="13"/>
                <w:szCs w:val="13"/>
                <w:b w:val="1"/>
                <w:bCs w:val="1"/>
                <w:color w:val="auto"/>
              </w:rPr>
              <w:t>Michaela J. Hildreth</w:t>
            </w:r>
          </w:p>
        </w:tc>
        <w:tc>
          <w:tcPr>
            <w:tcW w:w="720" w:type="dxa"/>
            <w:vAlign w:val="bottom"/>
            <w:shd w:val="clear" w:color="auto" w:fill="E7E6E6"/>
          </w:tcPr>
          <w:p>
            <w:pPr>
              <w:jc w:val="right"/>
              <w:ind w:right="194"/>
              <w:spacing w:after="0" w:line="142" w:lineRule="exact"/>
              <w:rPr>
                <w:sz w:val="20"/>
                <w:szCs w:val="20"/>
                <w:color w:val="auto"/>
              </w:rPr>
            </w:pPr>
            <w:r>
              <w:rPr>
                <w:rFonts w:ascii="Arial" w:cs="Arial" w:eastAsia="Arial" w:hAnsi="Arial"/>
                <w:sz w:val="13"/>
                <w:szCs w:val="13"/>
                <w:color w:val="auto"/>
              </w:rPr>
              <w:t>2025</w:t>
            </w:r>
          </w:p>
        </w:tc>
        <w:tc>
          <w:tcPr>
            <w:tcW w:w="980" w:type="dxa"/>
            <w:vAlign w:val="bottom"/>
            <w:shd w:val="clear" w:color="auto" w:fill="E7E6E6"/>
          </w:tcPr>
          <w:p>
            <w:pPr>
              <w:jc w:val="right"/>
              <w:ind w:right="154"/>
              <w:spacing w:after="0" w:line="142" w:lineRule="exact"/>
              <w:rPr>
                <w:sz w:val="20"/>
                <w:szCs w:val="20"/>
                <w:color w:val="auto"/>
              </w:rPr>
            </w:pPr>
            <w:r>
              <w:rPr>
                <w:rFonts w:ascii="Arial" w:cs="Arial" w:eastAsia="Arial" w:hAnsi="Arial"/>
                <w:sz w:val="13"/>
                <w:szCs w:val="13"/>
                <w:color w:val="auto"/>
              </w:rPr>
              <w:t>600,000</w:t>
            </w:r>
          </w:p>
        </w:tc>
        <w:tc>
          <w:tcPr>
            <w:tcW w:w="900" w:type="dxa"/>
            <w:vAlign w:val="bottom"/>
            <w:shd w:val="clear" w:color="auto" w:fill="E7E6E6"/>
          </w:tcPr>
          <w:p>
            <w:pPr>
              <w:jc w:val="right"/>
              <w:ind w:right="154"/>
              <w:spacing w:after="0" w:line="142" w:lineRule="exact"/>
              <w:rPr>
                <w:sz w:val="20"/>
                <w:szCs w:val="20"/>
                <w:color w:val="auto"/>
              </w:rPr>
            </w:pPr>
            <w:r>
              <w:rPr>
                <w:rFonts w:ascii="Arial" w:cs="Arial" w:eastAsia="Arial" w:hAnsi="Arial"/>
                <w:sz w:val="13"/>
                <w:szCs w:val="13"/>
                <w:color w:val="auto"/>
              </w:rPr>
              <w:t>-</w:t>
            </w:r>
          </w:p>
        </w:tc>
        <w:tc>
          <w:tcPr>
            <w:tcW w:w="1060" w:type="dxa"/>
            <w:vAlign w:val="bottom"/>
            <w:shd w:val="clear" w:color="auto" w:fill="E7E6E6"/>
          </w:tcPr>
          <w:p>
            <w:pPr>
              <w:jc w:val="right"/>
              <w:ind w:right="214"/>
              <w:spacing w:after="0" w:line="142" w:lineRule="exact"/>
              <w:rPr>
                <w:sz w:val="20"/>
                <w:szCs w:val="20"/>
                <w:color w:val="auto"/>
              </w:rPr>
            </w:pPr>
            <w:r>
              <w:rPr>
                <w:rFonts w:ascii="Arial" w:cs="Arial" w:eastAsia="Arial" w:hAnsi="Arial"/>
                <w:sz w:val="13"/>
                <w:szCs w:val="13"/>
                <w:color w:val="auto"/>
              </w:rPr>
              <w:t>2,290,238</w:t>
            </w:r>
          </w:p>
        </w:tc>
        <w:tc>
          <w:tcPr>
            <w:tcW w:w="820" w:type="dxa"/>
            <w:vAlign w:val="bottom"/>
            <w:shd w:val="clear" w:color="auto" w:fill="E7E6E6"/>
          </w:tcPr>
          <w:p>
            <w:pPr>
              <w:jc w:val="right"/>
              <w:ind w:right="14"/>
              <w:spacing w:after="0" w:line="142" w:lineRule="exact"/>
              <w:rPr>
                <w:sz w:val="20"/>
                <w:szCs w:val="20"/>
                <w:color w:val="auto"/>
              </w:rPr>
            </w:pPr>
            <w:r>
              <w:rPr>
                <w:rFonts w:ascii="Arial" w:cs="Arial" w:eastAsia="Arial" w:hAnsi="Arial"/>
                <w:sz w:val="13"/>
                <w:szCs w:val="13"/>
                <w:color w:val="auto"/>
              </w:rPr>
              <w:t>-</w:t>
            </w:r>
          </w:p>
        </w:tc>
        <w:tc>
          <w:tcPr>
            <w:tcW w:w="1100" w:type="dxa"/>
            <w:vAlign w:val="bottom"/>
            <w:shd w:val="clear" w:color="auto" w:fill="E7E6E6"/>
          </w:tcPr>
          <w:p>
            <w:pPr>
              <w:jc w:val="right"/>
              <w:ind w:right="114"/>
              <w:spacing w:after="0" w:line="142" w:lineRule="exact"/>
              <w:rPr>
                <w:sz w:val="20"/>
                <w:szCs w:val="20"/>
                <w:color w:val="auto"/>
              </w:rPr>
            </w:pPr>
            <w:r>
              <w:rPr>
                <w:rFonts w:ascii="Arial" w:cs="Arial" w:eastAsia="Arial" w:hAnsi="Arial"/>
                <w:sz w:val="13"/>
                <w:szCs w:val="13"/>
                <w:color w:val="auto"/>
              </w:rPr>
              <w:t>1,200,000</w:t>
            </w:r>
          </w:p>
        </w:tc>
        <w:tc>
          <w:tcPr>
            <w:tcW w:w="1180" w:type="dxa"/>
            <w:vAlign w:val="bottom"/>
            <w:shd w:val="clear" w:color="auto" w:fill="E7E6E6"/>
          </w:tcPr>
          <w:p>
            <w:pPr>
              <w:jc w:val="right"/>
              <w:ind w:right="54"/>
              <w:spacing w:after="0" w:line="142" w:lineRule="exact"/>
              <w:rPr>
                <w:sz w:val="20"/>
                <w:szCs w:val="20"/>
                <w:color w:val="auto"/>
              </w:rPr>
            </w:pPr>
            <w:r>
              <w:rPr>
                <w:rFonts w:ascii="Arial" w:cs="Arial" w:eastAsia="Arial" w:hAnsi="Arial"/>
                <w:sz w:val="13"/>
                <w:szCs w:val="13"/>
                <w:color w:val="auto"/>
              </w:rPr>
              <w:t>-</w:t>
            </w:r>
          </w:p>
        </w:tc>
        <w:tc>
          <w:tcPr>
            <w:tcW w:w="1260" w:type="dxa"/>
            <w:vAlign w:val="bottom"/>
            <w:shd w:val="clear" w:color="auto" w:fill="E7E6E6"/>
          </w:tcPr>
          <w:p>
            <w:pPr>
              <w:jc w:val="right"/>
              <w:ind w:right="194"/>
              <w:spacing w:after="0" w:line="142" w:lineRule="exact"/>
              <w:rPr>
                <w:sz w:val="20"/>
                <w:szCs w:val="20"/>
                <w:color w:val="auto"/>
              </w:rPr>
            </w:pPr>
            <w:r>
              <w:rPr>
                <w:rFonts w:ascii="Arial" w:cs="Arial" w:eastAsia="Arial" w:hAnsi="Arial"/>
                <w:sz w:val="13"/>
                <w:szCs w:val="13"/>
                <w:color w:val="auto"/>
              </w:rPr>
              <w:t>23,058</w:t>
            </w:r>
          </w:p>
        </w:tc>
        <w:tc>
          <w:tcPr>
            <w:tcW w:w="960" w:type="dxa"/>
            <w:vAlign w:val="bottom"/>
            <w:shd w:val="clear" w:color="auto" w:fill="E7E6E6"/>
          </w:tcPr>
          <w:p>
            <w:pPr>
              <w:jc w:val="right"/>
              <w:ind w:right="34"/>
              <w:spacing w:after="0" w:line="142" w:lineRule="exact"/>
              <w:rPr>
                <w:sz w:val="20"/>
                <w:szCs w:val="20"/>
                <w:color w:val="auto"/>
              </w:rPr>
            </w:pPr>
            <w:r>
              <w:rPr>
                <w:rFonts w:ascii="Arial" w:cs="Arial" w:eastAsia="Arial" w:hAnsi="Arial"/>
                <w:sz w:val="13"/>
                <w:szCs w:val="13"/>
                <w:color w:val="auto"/>
              </w:rPr>
              <w:t>4,113,296</w:t>
            </w:r>
          </w:p>
        </w:tc>
      </w:tr>
      <w:tr>
        <w:trPr>
          <w:trHeight w:val="149"/>
        </w:trPr>
        <w:tc>
          <w:tcPr>
            <w:tcW w:w="2260" w:type="dxa"/>
            <w:vAlign w:val="bottom"/>
            <w:shd w:val="clear" w:color="auto" w:fill="E7E6E6"/>
          </w:tcPr>
          <w:p>
            <w:pPr>
              <w:spacing w:after="0"/>
              <w:rPr>
                <w:sz w:val="20"/>
                <w:szCs w:val="20"/>
                <w:color w:val="auto"/>
              </w:rPr>
            </w:pPr>
            <w:r>
              <w:rPr>
                <w:rFonts w:ascii="Arial" w:cs="Arial" w:eastAsia="Arial" w:hAnsi="Arial"/>
                <w:sz w:val="13"/>
                <w:szCs w:val="13"/>
                <w:color w:val="auto"/>
              </w:rPr>
              <w:t>Managing Director &amp;</w:t>
            </w:r>
          </w:p>
        </w:tc>
        <w:tc>
          <w:tcPr>
            <w:tcW w:w="720" w:type="dxa"/>
            <w:vAlign w:val="bottom"/>
            <w:shd w:val="clear" w:color="auto" w:fill="E7E6E6"/>
          </w:tcPr>
          <w:p>
            <w:pPr>
              <w:jc w:val="right"/>
              <w:ind w:right="194"/>
              <w:spacing w:after="0"/>
              <w:rPr>
                <w:sz w:val="20"/>
                <w:szCs w:val="20"/>
                <w:color w:val="auto"/>
              </w:rPr>
            </w:pPr>
            <w:r>
              <w:rPr>
                <w:rFonts w:ascii="Arial" w:cs="Arial" w:eastAsia="Arial" w:hAnsi="Arial"/>
                <w:sz w:val="13"/>
                <w:szCs w:val="13"/>
                <w:color w:val="auto"/>
              </w:rPr>
              <w:t>2024</w:t>
            </w:r>
          </w:p>
        </w:tc>
        <w:tc>
          <w:tcPr>
            <w:tcW w:w="980" w:type="dxa"/>
            <w:vAlign w:val="bottom"/>
            <w:shd w:val="clear" w:color="auto" w:fill="E7E6E6"/>
          </w:tcPr>
          <w:p>
            <w:pPr>
              <w:jc w:val="right"/>
              <w:ind w:right="154"/>
              <w:spacing w:after="0"/>
              <w:rPr>
                <w:sz w:val="20"/>
                <w:szCs w:val="20"/>
                <w:color w:val="auto"/>
              </w:rPr>
            </w:pPr>
            <w:r>
              <w:rPr>
                <w:rFonts w:ascii="Arial" w:cs="Arial" w:eastAsia="Arial" w:hAnsi="Arial"/>
                <w:sz w:val="13"/>
                <w:szCs w:val="13"/>
                <w:color w:val="auto"/>
              </w:rPr>
              <w:t>600,000</w:t>
            </w:r>
          </w:p>
        </w:tc>
        <w:tc>
          <w:tcPr>
            <w:tcW w:w="900" w:type="dxa"/>
            <w:vAlign w:val="bottom"/>
            <w:shd w:val="clear" w:color="auto" w:fill="E7E6E6"/>
          </w:tcPr>
          <w:p>
            <w:pPr>
              <w:jc w:val="right"/>
              <w:ind w:right="154"/>
              <w:spacing w:after="0"/>
              <w:rPr>
                <w:sz w:val="20"/>
                <w:szCs w:val="20"/>
                <w:color w:val="auto"/>
              </w:rPr>
            </w:pPr>
            <w:r>
              <w:rPr>
                <w:rFonts w:ascii="Arial" w:cs="Arial" w:eastAsia="Arial" w:hAnsi="Arial"/>
                <w:sz w:val="13"/>
                <w:szCs w:val="13"/>
                <w:color w:val="auto"/>
              </w:rPr>
              <w:t>-</w:t>
            </w:r>
          </w:p>
        </w:tc>
        <w:tc>
          <w:tcPr>
            <w:tcW w:w="1060" w:type="dxa"/>
            <w:vAlign w:val="bottom"/>
            <w:shd w:val="clear" w:color="auto" w:fill="E7E6E6"/>
          </w:tcPr>
          <w:p>
            <w:pPr>
              <w:jc w:val="right"/>
              <w:ind w:right="214"/>
              <w:spacing w:after="0"/>
              <w:rPr>
                <w:sz w:val="20"/>
                <w:szCs w:val="20"/>
                <w:color w:val="auto"/>
              </w:rPr>
            </w:pPr>
            <w:r>
              <w:rPr>
                <w:rFonts w:ascii="Arial" w:cs="Arial" w:eastAsia="Arial" w:hAnsi="Arial"/>
                <w:sz w:val="13"/>
                <w:szCs w:val="13"/>
                <w:color w:val="auto"/>
              </w:rPr>
              <w:t>2,117,532</w:t>
            </w:r>
          </w:p>
        </w:tc>
        <w:tc>
          <w:tcPr>
            <w:tcW w:w="820" w:type="dxa"/>
            <w:vAlign w:val="bottom"/>
            <w:shd w:val="clear" w:color="auto" w:fill="E7E6E6"/>
          </w:tcPr>
          <w:p>
            <w:pPr>
              <w:jc w:val="right"/>
              <w:ind w:right="14"/>
              <w:spacing w:after="0"/>
              <w:rPr>
                <w:sz w:val="20"/>
                <w:szCs w:val="20"/>
                <w:color w:val="auto"/>
              </w:rPr>
            </w:pPr>
            <w:r>
              <w:rPr>
                <w:rFonts w:ascii="Arial" w:cs="Arial" w:eastAsia="Arial" w:hAnsi="Arial"/>
                <w:sz w:val="13"/>
                <w:szCs w:val="13"/>
                <w:color w:val="auto"/>
              </w:rPr>
              <w:t>-</w:t>
            </w:r>
          </w:p>
        </w:tc>
        <w:tc>
          <w:tcPr>
            <w:tcW w:w="1100" w:type="dxa"/>
            <w:vAlign w:val="bottom"/>
            <w:shd w:val="clear" w:color="auto" w:fill="E7E6E6"/>
          </w:tcPr>
          <w:p>
            <w:pPr>
              <w:jc w:val="right"/>
              <w:ind w:right="114"/>
              <w:spacing w:after="0"/>
              <w:rPr>
                <w:sz w:val="20"/>
                <w:szCs w:val="20"/>
                <w:color w:val="auto"/>
              </w:rPr>
            </w:pPr>
            <w:r>
              <w:rPr>
                <w:rFonts w:ascii="Arial" w:cs="Arial" w:eastAsia="Arial" w:hAnsi="Arial"/>
                <w:sz w:val="13"/>
                <w:szCs w:val="13"/>
                <w:color w:val="auto"/>
              </w:rPr>
              <w:t>211,500</w:t>
            </w:r>
          </w:p>
        </w:tc>
        <w:tc>
          <w:tcPr>
            <w:tcW w:w="1180" w:type="dxa"/>
            <w:vAlign w:val="bottom"/>
            <w:shd w:val="clear" w:color="auto" w:fill="E7E6E6"/>
          </w:tcPr>
          <w:p>
            <w:pPr>
              <w:jc w:val="right"/>
              <w:ind w:right="54"/>
              <w:spacing w:after="0"/>
              <w:rPr>
                <w:sz w:val="20"/>
                <w:szCs w:val="20"/>
                <w:color w:val="auto"/>
              </w:rPr>
            </w:pPr>
            <w:r>
              <w:rPr>
                <w:rFonts w:ascii="Arial" w:cs="Arial" w:eastAsia="Arial" w:hAnsi="Arial"/>
                <w:sz w:val="13"/>
                <w:szCs w:val="13"/>
                <w:color w:val="auto"/>
              </w:rPr>
              <w:t>-</w:t>
            </w:r>
          </w:p>
        </w:tc>
        <w:tc>
          <w:tcPr>
            <w:tcW w:w="1260" w:type="dxa"/>
            <w:vAlign w:val="bottom"/>
            <w:shd w:val="clear" w:color="auto" w:fill="E7E6E6"/>
          </w:tcPr>
          <w:p>
            <w:pPr>
              <w:jc w:val="right"/>
              <w:ind w:right="194"/>
              <w:spacing w:after="0"/>
              <w:rPr>
                <w:sz w:val="20"/>
                <w:szCs w:val="20"/>
                <w:color w:val="auto"/>
              </w:rPr>
            </w:pPr>
            <w:r>
              <w:rPr>
                <w:rFonts w:ascii="Arial" w:cs="Arial" w:eastAsia="Arial" w:hAnsi="Arial"/>
                <w:sz w:val="13"/>
                <w:szCs w:val="13"/>
                <w:color w:val="auto"/>
              </w:rPr>
              <w:t>22,131</w:t>
            </w:r>
          </w:p>
        </w:tc>
        <w:tc>
          <w:tcPr>
            <w:tcW w:w="960" w:type="dxa"/>
            <w:vAlign w:val="bottom"/>
            <w:shd w:val="clear" w:color="auto" w:fill="E7E6E6"/>
          </w:tcPr>
          <w:p>
            <w:pPr>
              <w:jc w:val="right"/>
              <w:ind w:right="34"/>
              <w:spacing w:after="0"/>
              <w:rPr>
                <w:sz w:val="20"/>
                <w:szCs w:val="20"/>
                <w:color w:val="auto"/>
              </w:rPr>
            </w:pPr>
            <w:r>
              <w:rPr>
                <w:rFonts w:ascii="Arial" w:cs="Arial" w:eastAsia="Arial" w:hAnsi="Arial"/>
                <w:sz w:val="13"/>
                <w:szCs w:val="13"/>
                <w:color w:val="auto"/>
              </w:rPr>
              <w:t>2,951,163</w:t>
            </w:r>
          </w:p>
        </w:tc>
      </w:tr>
      <w:tr>
        <w:trPr>
          <w:trHeight w:val="149"/>
        </w:trPr>
        <w:tc>
          <w:tcPr>
            <w:tcW w:w="2260" w:type="dxa"/>
            <w:vAlign w:val="bottom"/>
            <w:tcBorders>
              <w:bottom w:val="single" w:sz="8" w:color="auto"/>
            </w:tcBorders>
            <w:shd w:val="clear" w:color="auto" w:fill="E7E6E6"/>
          </w:tcPr>
          <w:p>
            <w:pPr>
              <w:ind w:left="180"/>
              <w:spacing w:after="0"/>
              <w:rPr>
                <w:sz w:val="20"/>
                <w:szCs w:val="20"/>
                <w:color w:val="auto"/>
              </w:rPr>
            </w:pPr>
            <w:r>
              <w:rPr>
                <w:rFonts w:ascii="Arial" w:cs="Arial" w:eastAsia="Arial" w:hAnsi="Arial"/>
                <w:sz w:val="13"/>
                <w:szCs w:val="13"/>
                <w:color w:val="auto"/>
              </w:rPr>
              <w:t>Chief Accounting Officer</w:t>
            </w:r>
          </w:p>
        </w:tc>
        <w:tc>
          <w:tcPr>
            <w:tcW w:w="720" w:type="dxa"/>
            <w:vAlign w:val="bottom"/>
            <w:tcBorders>
              <w:bottom w:val="single" w:sz="8" w:color="auto"/>
            </w:tcBorders>
            <w:shd w:val="clear" w:color="auto" w:fill="E7E6E6"/>
          </w:tcPr>
          <w:p>
            <w:pPr>
              <w:jc w:val="right"/>
              <w:ind w:right="194"/>
              <w:spacing w:after="0"/>
              <w:rPr>
                <w:sz w:val="20"/>
                <w:szCs w:val="20"/>
                <w:color w:val="auto"/>
              </w:rPr>
            </w:pPr>
            <w:r>
              <w:rPr>
                <w:rFonts w:ascii="Arial" w:cs="Arial" w:eastAsia="Arial" w:hAnsi="Arial"/>
                <w:sz w:val="13"/>
                <w:szCs w:val="13"/>
                <w:color w:val="auto"/>
              </w:rPr>
              <w:t>2023</w:t>
            </w:r>
          </w:p>
        </w:tc>
        <w:tc>
          <w:tcPr>
            <w:tcW w:w="980" w:type="dxa"/>
            <w:vAlign w:val="bottom"/>
            <w:tcBorders>
              <w:bottom w:val="single" w:sz="8" w:color="auto"/>
            </w:tcBorders>
            <w:shd w:val="clear" w:color="auto" w:fill="E7E6E6"/>
          </w:tcPr>
          <w:p>
            <w:pPr>
              <w:jc w:val="right"/>
              <w:ind w:right="154"/>
              <w:spacing w:after="0"/>
              <w:rPr>
                <w:sz w:val="20"/>
                <w:szCs w:val="20"/>
                <w:color w:val="auto"/>
              </w:rPr>
            </w:pPr>
            <w:r>
              <w:rPr>
                <w:rFonts w:ascii="Arial" w:cs="Arial" w:eastAsia="Arial" w:hAnsi="Arial"/>
                <w:sz w:val="13"/>
                <w:szCs w:val="13"/>
                <w:color w:val="auto"/>
              </w:rPr>
              <w:t>584,615</w:t>
            </w:r>
          </w:p>
        </w:tc>
        <w:tc>
          <w:tcPr>
            <w:tcW w:w="900" w:type="dxa"/>
            <w:vAlign w:val="bottom"/>
            <w:tcBorders>
              <w:bottom w:val="single" w:sz="8" w:color="auto"/>
            </w:tcBorders>
            <w:shd w:val="clear" w:color="auto" w:fill="E7E6E6"/>
          </w:tcPr>
          <w:p>
            <w:pPr>
              <w:jc w:val="right"/>
              <w:ind w:right="154"/>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E7E6E6"/>
          </w:tcPr>
          <w:p>
            <w:pPr>
              <w:jc w:val="right"/>
              <w:ind w:right="214"/>
              <w:spacing w:after="0"/>
              <w:rPr>
                <w:sz w:val="20"/>
                <w:szCs w:val="20"/>
                <w:color w:val="auto"/>
              </w:rPr>
            </w:pPr>
            <w:r>
              <w:rPr>
                <w:rFonts w:ascii="Arial" w:cs="Arial" w:eastAsia="Arial" w:hAnsi="Arial"/>
                <w:sz w:val="13"/>
                <w:szCs w:val="13"/>
                <w:color w:val="auto"/>
              </w:rPr>
              <w:t>1,761,876</w:t>
            </w:r>
          </w:p>
        </w:tc>
        <w:tc>
          <w:tcPr>
            <w:tcW w:w="820" w:type="dxa"/>
            <w:vAlign w:val="bottom"/>
            <w:tcBorders>
              <w:bottom w:val="single" w:sz="8" w:color="auto"/>
            </w:tcBorders>
            <w:shd w:val="clear" w:color="auto" w:fill="E7E6E6"/>
          </w:tcPr>
          <w:p>
            <w:pPr>
              <w:jc w:val="right"/>
              <w:ind w:right="14"/>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E7E6E6"/>
          </w:tcPr>
          <w:p>
            <w:pPr>
              <w:jc w:val="right"/>
              <w:ind w:right="114"/>
              <w:spacing w:after="0"/>
              <w:rPr>
                <w:sz w:val="20"/>
                <w:szCs w:val="20"/>
                <w:color w:val="auto"/>
              </w:rPr>
            </w:pPr>
            <w:r>
              <w:rPr>
                <w:rFonts w:ascii="Arial" w:cs="Arial" w:eastAsia="Arial" w:hAnsi="Arial"/>
                <w:sz w:val="13"/>
                <w:szCs w:val="13"/>
                <w:color w:val="auto"/>
              </w:rPr>
              <w:t>765,000</w:t>
            </w:r>
          </w:p>
        </w:tc>
        <w:tc>
          <w:tcPr>
            <w:tcW w:w="1180" w:type="dxa"/>
            <w:vAlign w:val="bottom"/>
            <w:tcBorders>
              <w:bottom w:val="single" w:sz="8" w:color="auto"/>
            </w:tcBorders>
            <w:shd w:val="clear" w:color="auto" w:fill="E7E6E6"/>
          </w:tcPr>
          <w:p>
            <w:pPr>
              <w:jc w:val="right"/>
              <w:ind w:right="54"/>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shd w:val="clear" w:color="auto" w:fill="E7E6E6"/>
          </w:tcPr>
          <w:p>
            <w:pPr>
              <w:jc w:val="right"/>
              <w:ind w:right="194"/>
              <w:spacing w:after="0"/>
              <w:rPr>
                <w:sz w:val="20"/>
                <w:szCs w:val="20"/>
                <w:color w:val="auto"/>
              </w:rPr>
            </w:pPr>
            <w:r>
              <w:rPr>
                <w:rFonts w:ascii="Arial" w:cs="Arial" w:eastAsia="Arial" w:hAnsi="Arial"/>
                <w:sz w:val="13"/>
                <w:szCs w:val="13"/>
                <w:color w:val="auto"/>
              </w:rPr>
              <w:t>26,220</w:t>
            </w:r>
          </w:p>
        </w:tc>
        <w:tc>
          <w:tcPr>
            <w:tcW w:w="960" w:type="dxa"/>
            <w:vAlign w:val="bottom"/>
            <w:tcBorders>
              <w:bottom w:val="single" w:sz="8" w:color="auto"/>
            </w:tcBorders>
            <w:shd w:val="clear" w:color="auto" w:fill="E7E6E6"/>
          </w:tcPr>
          <w:p>
            <w:pPr>
              <w:jc w:val="right"/>
              <w:ind w:right="34"/>
              <w:spacing w:after="0"/>
              <w:rPr>
                <w:sz w:val="20"/>
                <w:szCs w:val="20"/>
                <w:color w:val="auto"/>
              </w:rPr>
            </w:pPr>
            <w:r>
              <w:rPr>
                <w:rFonts w:ascii="Arial" w:cs="Arial" w:eastAsia="Arial" w:hAnsi="Arial"/>
                <w:sz w:val="13"/>
                <w:szCs w:val="13"/>
                <w:color w:val="auto"/>
              </w:rPr>
              <w:t>3,137,711</w:t>
            </w:r>
          </w:p>
        </w:tc>
      </w:tr>
    </w:tbl>
    <w:p>
      <w:pPr>
        <w:spacing w:after="0" w:line="162" w:lineRule="exact"/>
        <w:rPr>
          <w:sz w:val="20"/>
          <w:szCs w:val="20"/>
          <w:color w:val="auto"/>
        </w:rPr>
      </w:pPr>
    </w:p>
    <w:p>
      <w:pPr>
        <w:ind w:left="300" w:right="600" w:hanging="300"/>
        <w:spacing w:after="0" w:line="259" w:lineRule="auto"/>
        <w:tabs>
          <w:tab w:leader="none" w:pos="3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For Mr. Caffrey, the amounts in 2024 and 2023 represent the final two tranches of a $975,000 sign-on bonus, payable in three equal annual installments, awarded to incentivize him to join the Company. For Mr. Harrison, the amounts in 2025 and 2024 represent the first two of three tranches of a $750,000 sign-on bonus, payable in three equal annual installments, awarded to incentivize him to join the Company. See “Compensation Discussion and Analysis.”</w:t>
      </w:r>
    </w:p>
    <w:p>
      <w:pPr>
        <w:spacing w:after="0" w:line="138" w:lineRule="exact"/>
        <w:rPr>
          <w:rFonts w:ascii="Arial" w:cs="Arial" w:eastAsia="Arial" w:hAnsi="Arial"/>
          <w:sz w:val="15"/>
          <w:szCs w:val="15"/>
          <w:color w:val="auto"/>
        </w:rPr>
      </w:pPr>
    </w:p>
    <w:p>
      <w:pPr>
        <w:ind w:left="300" w:right="680" w:hanging="300"/>
        <w:spacing w:after="0" w:line="253" w:lineRule="auto"/>
        <w:tabs>
          <w:tab w:leader="none" w:pos="3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Represents the grant date market value of WTM performance shares granted in 2025, 2024 and 2023 and WTM restricted shares issued in 2025, 2024 and 2023. The WTM performance share awards included in the table have a maximum payout of 200% of the shares granted and, at such level, would have a grant date fair value equal to 200% of the amounts shown in the Grants of Plan Based Awards table. See “Grants of Plan Based Awards” and “Outstanding Equity Awards at Fiscal Year End.”</w:t>
      </w:r>
    </w:p>
    <w:p>
      <w:pPr>
        <w:spacing w:after="0" w:line="143" w:lineRule="exact"/>
        <w:rPr>
          <w:rFonts w:ascii="Arial" w:cs="Arial" w:eastAsia="Arial" w:hAnsi="Arial"/>
          <w:sz w:val="15"/>
          <w:szCs w:val="15"/>
          <w:color w:val="auto"/>
        </w:rPr>
      </w:pPr>
    </w:p>
    <w:p>
      <w:pPr>
        <w:ind w:left="300" w:right="580" w:hanging="300"/>
        <w:spacing w:after="0" w:line="253" w:lineRule="auto"/>
        <w:tabs>
          <w:tab w:leader="none" w:pos="3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Amounts presented in 2025 represent annual incentive awards paid in cash in March 2026 for performance in the year ended December 31, 2025. Amounts presented in 2024 represent annual incentive awards paid in cash in March 2025 for performance in the year ended December 31, 2024. Amounts presented in 2023 represent annual incentive awards paid in cash in March 2024 for performance in the year ended December 31, 2023. See “Compensation Discussion and Analysis.”</w:t>
      </w:r>
    </w:p>
    <w:p>
      <w:pPr>
        <w:spacing w:after="0" w:line="143" w:lineRule="exact"/>
        <w:rPr>
          <w:rFonts w:ascii="Arial" w:cs="Arial" w:eastAsia="Arial" w:hAnsi="Arial"/>
          <w:sz w:val="15"/>
          <w:szCs w:val="15"/>
          <w:color w:val="auto"/>
        </w:rPr>
      </w:pPr>
    </w:p>
    <w:p>
      <w:pPr>
        <w:ind w:left="300" w:hanging="300"/>
        <w:spacing w:after="0"/>
        <w:tabs>
          <w:tab w:leader="none" w:pos="3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See next table for details of All Other Compensation.</w:t>
      </w:r>
    </w:p>
    <w:p>
      <w:pPr>
        <w:spacing w:after="0" w:line="175" w:lineRule="exact"/>
        <w:rPr>
          <w:rFonts w:ascii="Arial" w:cs="Arial" w:eastAsia="Arial" w:hAnsi="Arial"/>
          <w:sz w:val="15"/>
          <w:szCs w:val="15"/>
          <w:color w:val="auto"/>
        </w:rPr>
      </w:pPr>
    </w:p>
    <w:p>
      <w:pPr>
        <w:ind w:left="300" w:hanging="300"/>
        <w:spacing w:after="0"/>
        <w:tabs>
          <w:tab w:leader="none" w:pos="3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Mr. Rountree retired as CEO on December 31, 2025, and remains employed as a Senior Advisor but is no longer an executive officer.</w:t>
      </w:r>
    </w:p>
    <w:p>
      <w:pPr>
        <w:spacing w:after="0" w:line="175" w:lineRule="exact"/>
        <w:rPr>
          <w:rFonts w:ascii="Arial" w:cs="Arial" w:eastAsia="Arial" w:hAnsi="Arial"/>
          <w:sz w:val="15"/>
          <w:szCs w:val="15"/>
          <w:color w:val="auto"/>
        </w:rPr>
      </w:pPr>
    </w:p>
    <w:p>
      <w:pPr>
        <w:ind w:left="300" w:hanging="300"/>
        <w:spacing w:after="0"/>
        <w:tabs>
          <w:tab w:leader="none" w:pos="3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Mr. Caffrey was appointed CEO and elected to the board of directors effective January 1, 2026.</w:t>
      </w:r>
    </w:p>
    <w:p>
      <w:pPr>
        <w:spacing w:after="0" w:line="175" w:lineRule="exact"/>
        <w:rPr>
          <w:rFonts w:ascii="Arial" w:cs="Arial" w:eastAsia="Arial" w:hAnsi="Arial"/>
          <w:sz w:val="15"/>
          <w:szCs w:val="15"/>
          <w:color w:val="auto"/>
        </w:rPr>
      </w:pPr>
    </w:p>
    <w:p>
      <w:pPr>
        <w:ind w:left="300" w:hanging="300"/>
        <w:spacing w:after="0"/>
        <w:tabs>
          <w:tab w:leader="none" w:pos="3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Mr. Harrison was appointed President effective January 1, 2026.</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All Other Compensation</w:t>
      </w:r>
    </w:p>
    <w:p>
      <w:pPr>
        <w:spacing w:after="0" w:line="191" w:lineRule="exact"/>
        <w:rPr>
          <w:sz w:val="20"/>
          <w:szCs w:val="20"/>
          <w:color w:val="auto"/>
        </w:rPr>
      </w:pPr>
    </w:p>
    <w:p>
      <w:pPr>
        <w:ind w:right="80" w:firstLine="299"/>
        <w:spacing w:after="0" w:line="270" w:lineRule="auto"/>
        <w:rPr>
          <w:sz w:val="20"/>
          <w:szCs w:val="20"/>
          <w:color w:val="auto"/>
        </w:rPr>
      </w:pPr>
      <w:r>
        <w:rPr>
          <w:rFonts w:ascii="Arial" w:cs="Arial" w:eastAsia="Arial" w:hAnsi="Arial"/>
          <w:sz w:val="18"/>
          <w:szCs w:val="18"/>
          <w:color w:val="auto"/>
        </w:rPr>
        <w:t>The following table presents a breakout of “All Other Compensation” included in the Summary Compensation Table for 2025, 2024 and 2023:</w:t>
      </w:r>
    </w:p>
    <w:p>
      <w:pPr>
        <w:spacing w:after="0" w:line="133" w:lineRule="exact"/>
        <w:rPr>
          <w:sz w:val="20"/>
          <w:szCs w:val="20"/>
          <w:color w:val="auto"/>
        </w:rPr>
      </w:pPr>
    </w:p>
    <w:tbl>
      <w:tblPr>
        <w:tblLayout w:type="fixed"/>
        <w:tblInd w:w="300" w:type="dxa"/>
        <w:tblCellMar>
          <w:top w:w="0" w:type="dxa"/>
          <w:left w:w="0" w:type="dxa"/>
          <w:bottom w:w="0" w:type="dxa"/>
          <w:right w:w="0" w:type="dxa"/>
        </w:tblCellMar>
      </w:tblPr>
      <w:tr>
        <w:trPr>
          <w:trHeight w:val="154"/>
        </w:trPr>
        <w:tc>
          <w:tcPr>
            <w:tcW w:w="19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14"/>
              <w:spacing w:after="0"/>
              <w:rPr>
                <w:sz w:val="20"/>
                <w:szCs w:val="20"/>
                <w:color w:val="auto"/>
              </w:rPr>
            </w:pPr>
            <w:r>
              <w:rPr>
                <w:rFonts w:ascii="Arial" w:cs="Arial" w:eastAsia="Arial" w:hAnsi="Arial"/>
                <w:sz w:val="13"/>
                <w:szCs w:val="13"/>
                <w:color w:val="auto"/>
              </w:rPr>
              <w:t>Company</w:t>
            </w:r>
          </w:p>
        </w:tc>
        <w:tc>
          <w:tcPr>
            <w:tcW w:w="1060" w:type="dxa"/>
            <w:vAlign w:val="bottom"/>
            <w:tcBorders>
              <w:top w:val="single" w:sz="8" w:color="auto"/>
            </w:tcBorders>
          </w:tcPr>
          <w:p>
            <w:pPr>
              <w:jc w:val="right"/>
              <w:ind w:right="214"/>
              <w:spacing w:after="0"/>
              <w:rPr>
                <w:sz w:val="20"/>
                <w:szCs w:val="20"/>
                <w:color w:val="auto"/>
              </w:rPr>
            </w:pPr>
            <w:r>
              <w:rPr>
                <w:rFonts w:ascii="Arial" w:cs="Arial" w:eastAsia="Arial" w:hAnsi="Arial"/>
                <w:sz w:val="13"/>
                <w:szCs w:val="13"/>
                <w:color w:val="auto"/>
              </w:rPr>
              <w:t>Employee</w:t>
            </w:r>
          </w:p>
        </w:tc>
        <w:tc>
          <w:tcPr>
            <w:tcW w:w="1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r>
      <w:tr>
        <w:trPr>
          <w:trHeight w:val="149"/>
        </w:trPr>
        <w:tc>
          <w:tcPr>
            <w:tcW w:w="1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jc w:val="right"/>
              <w:ind w:right="114"/>
              <w:spacing w:after="0"/>
              <w:rPr>
                <w:sz w:val="20"/>
                <w:szCs w:val="20"/>
                <w:color w:val="auto"/>
              </w:rPr>
            </w:pPr>
            <w:r>
              <w:rPr>
                <w:rFonts w:ascii="Arial" w:cs="Arial" w:eastAsia="Arial" w:hAnsi="Arial"/>
                <w:sz w:val="13"/>
                <w:szCs w:val="13"/>
                <w:color w:val="auto"/>
              </w:rPr>
              <w:t>Personal</w:t>
            </w:r>
          </w:p>
        </w:tc>
        <w:tc>
          <w:tcPr>
            <w:tcW w:w="960" w:type="dxa"/>
            <w:vAlign w:val="bottom"/>
          </w:tcPr>
          <w:p>
            <w:pPr>
              <w:jc w:val="right"/>
              <w:ind w:right="114"/>
              <w:spacing w:after="0"/>
              <w:rPr>
                <w:sz w:val="20"/>
                <w:szCs w:val="20"/>
                <w:color w:val="auto"/>
              </w:rPr>
            </w:pPr>
            <w:r>
              <w:rPr>
                <w:rFonts w:ascii="Arial" w:cs="Arial" w:eastAsia="Arial" w:hAnsi="Arial"/>
                <w:sz w:val="13"/>
                <w:szCs w:val="13"/>
                <w:color w:val="auto"/>
              </w:rPr>
              <w:t>Restricted</w:t>
            </w:r>
          </w:p>
        </w:tc>
        <w:tc>
          <w:tcPr>
            <w:tcW w:w="1060" w:type="dxa"/>
            <w:vAlign w:val="bottom"/>
          </w:tcPr>
          <w:p>
            <w:pPr>
              <w:jc w:val="right"/>
              <w:ind w:right="114"/>
              <w:spacing w:after="0"/>
              <w:rPr>
                <w:sz w:val="20"/>
                <w:szCs w:val="20"/>
                <w:color w:val="auto"/>
              </w:rPr>
            </w:pPr>
            <w:r>
              <w:rPr>
                <w:rFonts w:ascii="Arial" w:cs="Arial" w:eastAsia="Arial" w:hAnsi="Arial"/>
                <w:sz w:val="13"/>
                <w:szCs w:val="13"/>
                <w:color w:val="auto"/>
              </w:rPr>
              <w:t>contributions</w:t>
            </w:r>
          </w:p>
        </w:tc>
        <w:tc>
          <w:tcPr>
            <w:tcW w:w="1060" w:type="dxa"/>
            <w:vAlign w:val="bottom"/>
          </w:tcPr>
          <w:p>
            <w:pPr>
              <w:jc w:val="right"/>
              <w:ind w:right="214"/>
              <w:spacing w:after="0"/>
              <w:rPr>
                <w:sz w:val="20"/>
                <w:szCs w:val="20"/>
                <w:color w:val="auto"/>
              </w:rPr>
            </w:pPr>
            <w:r>
              <w:rPr>
                <w:rFonts w:ascii="Arial" w:cs="Arial" w:eastAsia="Arial" w:hAnsi="Arial"/>
                <w:sz w:val="13"/>
                <w:szCs w:val="13"/>
                <w:color w:val="auto"/>
              </w:rPr>
              <w:t>stock</w:t>
            </w:r>
          </w:p>
        </w:tc>
        <w:tc>
          <w:tcPr>
            <w:tcW w:w="1140" w:type="dxa"/>
            <w:vAlign w:val="bottom"/>
          </w:tcPr>
          <w:p>
            <w:pPr>
              <w:jc w:val="right"/>
              <w:ind w:right="334"/>
              <w:spacing w:after="0"/>
              <w:rPr>
                <w:sz w:val="20"/>
                <w:szCs w:val="20"/>
                <w:color w:val="auto"/>
              </w:rPr>
            </w:pPr>
            <w:r>
              <w:rPr>
                <w:rFonts w:ascii="Arial" w:cs="Arial" w:eastAsia="Arial" w:hAnsi="Arial"/>
                <w:sz w:val="13"/>
                <w:szCs w:val="13"/>
                <w:color w:val="auto"/>
              </w:rPr>
              <w:t>Other</w:t>
            </w:r>
          </w:p>
        </w:tc>
        <w:tc>
          <w:tcPr>
            <w:tcW w:w="940" w:type="dxa"/>
            <w:vAlign w:val="bottom"/>
          </w:tcPr>
          <w:p>
            <w:pPr>
              <w:spacing w:after="0"/>
              <w:rPr>
                <w:sz w:val="12"/>
                <w:szCs w:val="12"/>
                <w:color w:val="auto"/>
              </w:rPr>
            </w:pPr>
          </w:p>
        </w:tc>
      </w:tr>
      <w:tr>
        <w:trPr>
          <w:trHeight w:val="149"/>
        </w:trPr>
        <w:tc>
          <w:tcPr>
            <w:tcW w:w="1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jc w:val="right"/>
              <w:ind w:right="254"/>
              <w:spacing w:after="0"/>
              <w:rPr>
                <w:sz w:val="20"/>
                <w:szCs w:val="20"/>
                <w:color w:val="auto"/>
              </w:rPr>
            </w:pPr>
            <w:r>
              <w:rPr>
                <w:rFonts w:ascii="Arial" w:cs="Arial" w:eastAsia="Arial" w:hAnsi="Arial"/>
                <w:sz w:val="13"/>
                <w:szCs w:val="13"/>
                <w:color w:val="auto"/>
              </w:rPr>
              <w:t>Director</w:t>
            </w:r>
          </w:p>
        </w:tc>
        <w:tc>
          <w:tcPr>
            <w:tcW w:w="1000" w:type="dxa"/>
            <w:vAlign w:val="bottom"/>
          </w:tcPr>
          <w:p>
            <w:pPr>
              <w:jc w:val="right"/>
              <w:ind w:right="114"/>
              <w:spacing w:after="0"/>
              <w:rPr>
                <w:sz w:val="20"/>
                <w:szCs w:val="20"/>
                <w:color w:val="auto"/>
              </w:rPr>
            </w:pPr>
            <w:r>
              <w:rPr>
                <w:rFonts w:ascii="Arial" w:cs="Arial" w:eastAsia="Arial" w:hAnsi="Arial"/>
                <w:sz w:val="13"/>
                <w:szCs w:val="13"/>
                <w:color w:val="auto"/>
              </w:rPr>
              <w:t>use of</w:t>
            </w:r>
          </w:p>
        </w:tc>
        <w:tc>
          <w:tcPr>
            <w:tcW w:w="960" w:type="dxa"/>
            <w:vAlign w:val="bottom"/>
          </w:tcPr>
          <w:p>
            <w:pPr>
              <w:jc w:val="right"/>
              <w:ind w:right="114"/>
              <w:spacing w:after="0"/>
              <w:rPr>
                <w:sz w:val="20"/>
                <w:szCs w:val="20"/>
                <w:color w:val="auto"/>
              </w:rPr>
            </w:pPr>
            <w:r>
              <w:rPr>
                <w:rFonts w:ascii="Arial" w:cs="Arial" w:eastAsia="Arial" w:hAnsi="Arial"/>
                <w:sz w:val="13"/>
                <w:szCs w:val="13"/>
                <w:color w:val="auto"/>
              </w:rPr>
              <w:t>stock</w:t>
            </w:r>
          </w:p>
        </w:tc>
        <w:tc>
          <w:tcPr>
            <w:tcW w:w="1060" w:type="dxa"/>
            <w:vAlign w:val="bottom"/>
          </w:tcPr>
          <w:p>
            <w:pPr>
              <w:jc w:val="right"/>
              <w:ind w:right="114"/>
              <w:spacing w:after="0"/>
              <w:rPr>
                <w:sz w:val="20"/>
                <w:szCs w:val="20"/>
                <w:color w:val="auto"/>
              </w:rPr>
            </w:pPr>
            <w:r>
              <w:rPr>
                <w:rFonts w:ascii="Arial" w:cs="Arial" w:eastAsia="Arial" w:hAnsi="Arial"/>
                <w:sz w:val="13"/>
                <w:szCs w:val="13"/>
                <w:color w:val="auto"/>
              </w:rPr>
              <w:t>to 401(k)</w:t>
            </w:r>
          </w:p>
        </w:tc>
        <w:tc>
          <w:tcPr>
            <w:tcW w:w="1060" w:type="dxa"/>
            <w:vAlign w:val="bottom"/>
          </w:tcPr>
          <w:p>
            <w:pPr>
              <w:jc w:val="right"/>
              <w:ind w:right="174"/>
              <w:spacing w:after="0"/>
              <w:rPr>
                <w:sz w:val="20"/>
                <w:szCs w:val="20"/>
                <w:color w:val="auto"/>
              </w:rPr>
            </w:pPr>
            <w:r>
              <w:rPr>
                <w:rFonts w:ascii="Arial" w:cs="Arial" w:eastAsia="Arial" w:hAnsi="Arial"/>
                <w:sz w:val="13"/>
                <w:szCs w:val="13"/>
                <w:color w:val="auto"/>
              </w:rPr>
              <w:t>ownership</w:t>
            </w:r>
          </w:p>
        </w:tc>
        <w:tc>
          <w:tcPr>
            <w:tcW w:w="1140" w:type="dxa"/>
            <w:vAlign w:val="bottom"/>
          </w:tcPr>
          <w:p>
            <w:pPr>
              <w:jc w:val="right"/>
              <w:ind w:right="334"/>
              <w:spacing w:after="0"/>
              <w:rPr>
                <w:sz w:val="20"/>
                <w:szCs w:val="20"/>
                <w:color w:val="auto"/>
              </w:rPr>
            </w:pPr>
            <w:r>
              <w:rPr>
                <w:rFonts w:ascii="Arial" w:cs="Arial" w:eastAsia="Arial" w:hAnsi="Arial"/>
                <w:sz w:val="13"/>
                <w:szCs w:val="13"/>
                <w:color w:val="auto"/>
              </w:rPr>
              <w:t>Personal</w:t>
            </w:r>
          </w:p>
        </w:tc>
        <w:tc>
          <w:tcPr>
            <w:tcW w:w="940" w:type="dxa"/>
            <w:vAlign w:val="bottom"/>
          </w:tcPr>
          <w:p>
            <w:pPr>
              <w:spacing w:after="0"/>
              <w:rPr>
                <w:sz w:val="12"/>
                <w:szCs w:val="12"/>
                <w:color w:val="auto"/>
              </w:rPr>
            </w:pPr>
          </w:p>
        </w:tc>
      </w:tr>
      <w:tr>
        <w:trPr>
          <w:trHeight w:val="149"/>
        </w:trPr>
        <w:tc>
          <w:tcPr>
            <w:tcW w:w="1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Fees</w:t>
            </w:r>
          </w:p>
        </w:tc>
        <w:tc>
          <w:tcPr>
            <w:tcW w:w="1000" w:type="dxa"/>
            <w:vAlign w:val="bottom"/>
          </w:tcPr>
          <w:p>
            <w:pPr>
              <w:jc w:val="right"/>
              <w:ind w:right="114"/>
              <w:spacing w:after="0"/>
              <w:rPr>
                <w:sz w:val="20"/>
                <w:szCs w:val="20"/>
                <w:color w:val="auto"/>
              </w:rPr>
            </w:pPr>
            <w:r>
              <w:rPr>
                <w:rFonts w:ascii="Arial" w:cs="Arial" w:eastAsia="Arial" w:hAnsi="Arial"/>
                <w:sz w:val="13"/>
                <w:szCs w:val="13"/>
                <w:color w:val="auto"/>
              </w:rPr>
              <w:t>planes</w:t>
            </w:r>
          </w:p>
        </w:tc>
        <w:tc>
          <w:tcPr>
            <w:tcW w:w="960" w:type="dxa"/>
            <w:vAlign w:val="bottom"/>
          </w:tcPr>
          <w:p>
            <w:pPr>
              <w:jc w:val="right"/>
              <w:ind w:right="74"/>
              <w:spacing w:after="0"/>
              <w:rPr>
                <w:sz w:val="20"/>
                <w:szCs w:val="20"/>
                <w:color w:val="auto"/>
              </w:rPr>
            </w:pPr>
            <w:r>
              <w:rPr>
                <w:rFonts w:ascii="Arial" w:cs="Arial" w:eastAsia="Arial" w:hAnsi="Arial"/>
                <w:sz w:val="13"/>
                <w:szCs w:val="13"/>
                <w:color w:val="auto"/>
              </w:rPr>
              <w:t>dividends</w:t>
            </w:r>
          </w:p>
        </w:tc>
        <w:tc>
          <w:tcPr>
            <w:tcW w:w="1060" w:type="dxa"/>
            <w:vAlign w:val="bottom"/>
          </w:tcPr>
          <w:p>
            <w:pPr>
              <w:jc w:val="right"/>
              <w:ind w:right="114"/>
              <w:spacing w:after="0"/>
              <w:rPr>
                <w:sz w:val="20"/>
                <w:szCs w:val="20"/>
                <w:color w:val="auto"/>
              </w:rPr>
            </w:pPr>
            <w:r>
              <w:rPr>
                <w:rFonts w:ascii="Arial" w:cs="Arial" w:eastAsia="Arial" w:hAnsi="Arial"/>
                <w:sz w:val="13"/>
                <w:szCs w:val="13"/>
                <w:color w:val="auto"/>
              </w:rPr>
              <w:t>plan</w:t>
            </w:r>
          </w:p>
        </w:tc>
        <w:tc>
          <w:tcPr>
            <w:tcW w:w="1060" w:type="dxa"/>
            <w:vAlign w:val="bottom"/>
          </w:tcPr>
          <w:p>
            <w:pPr>
              <w:jc w:val="right"/>
              <w:ind w:right="174"/>
              <w:spacing w:after="0"/>
              <w:rPr>
                <w:sz w:val="20"/>
                <w:szCs w:val="20"/>
                <w:color w:val="auto"/>
              </w:rPr>
            </w:pPr>
            <w:r>
              <w:rPr>
                <w:rFonts w:ascii="Arial" w:cs="Arial" w:eastAsia="Arial" w:hAnsi="Arial"/>
                <w:sz w:val="13"/>
                <w:szCs w:val="13"/>
                <w:color w:val="auto"/>
              </w:rPr>
              <w:t>plan</w:t>
            </w:r>
          </w:p>
        </w:tc>
        <w:tc>
          <w:tcPr>
            <w:tcW w:w="1140" w:type="dxa"/>
            <w:vAlign w:val="bottom"/>
          </w:tcPr>
          <w:p>
            <w:pPr>
              <w:jc w:val="right"/>
              <w:ind w:right="334"/>
              <w:spacing w:after="0"/>
              <w:rPr>
                <w:sz w:val="20"/>
                <w:szCs w:val="20"/>
                <w:color w:val="auto"/>
              </w:rPr>
            </w:pPr>
            <w:r>
              <w:rPr>
                <w:rFonts w:ascii="Arial" w:cs="Arial" w:eastAsia="Arial" w:hAnsi="Arial"/>
                <w:sz w:val="13"/>
                <w:szCs w:val="13"/>
                <w:color w:val="auto"/>
              </w:rPr>
              <w:t>benefits</w:t>
            </w:r>
          </w:p>
        </w:tc>
        <w:tc>
          <w:tcPr>
            <w:tcW w:w="940" w:type="dxa"/>
            <w:vAlign w:val="bottom"/>
          </w:tcPr>
          <w:p>
            <w:pPr>
              <w:jc w:val="right"/>
              <w:ind w:right="114"/>
              <w:spacing w:after="0"/>
              <w:rPr>
                <w:sz w:val="20"/>
                <w:szCs w:val="20"/>
                <w:color w:val="auto"/>
              </w:rPr>
            </w:pPr>
            <w:r>
              <w:rPr>
                <w:rFonts w:ascii="Arial" w:cs="Arial" w:eastAsia="Arial" w:hAnsi="Arial"/>
                <w:sz w:val="13"/>
                <w:szCs w:val="13"/>
                <w:color w:val="auto"/>
              </w:rPr>
              <w:t>Total</w:t>
            </w:r>
          </w:p>
        </w:tc>
      </w:tr>
      <w:tr>
        <w:trPr>
          <w:trHeight w:val="157"/>
        </w:trPr>
        <w:tc>
          <w:tcPr>
            <w:tcW w:w="19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Name</w:t>
            </w:r>
          </w:p>
        </w:tc>
        <w:tc>
          <w:tcPr>
            <w:tcW w:w="1040" w:type="dxa"/>
            <w:vAlign w:val="bottom"/>
            <w:tcBorders>
              <w:bottom w:val="single" w:sz="8" w:color="auto"/>
            </w:tcBorders>
          </w:tcPr>
          <w:p>
            <w:pPr>
              <w:ind w:left="560"/>
              <w:spacing w:after="0"/>
              <w:rPr>
                <w:sz w:val="20"/>
                <w:szCs w:val="20"/>
                <w:color w:val="auto"/>
              </w:rPr>
            </w:pPr>
            <w:r>
              <w:rPr>
                <w:rFonts w:ascii="Arial" w:cs="Arial" w:eastAsia="Arial" w:hAnsi="Arial"/>
                <w:sz w:val="13"/>
                <w:szCs w:val="13"/>
                <w:color w:val="auto"/>
              </w:rPr>
              <w:t>Year</w:t>
            </w:r>
          </w:p>
        </w:tc>
        <w:tc>
          <w:tcPr>
            <w:tcW w:w="100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rPr>
              <w:t>(a) ($)</w:t>
            </w:r>
          </w:p>
        </w:tc>
        <w:tc>
          <w:tcPr>
            <w:tcW w:w="100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(b) ($)</w:t>
            </w:r>
          </w:p>
        </w:tc>
        <w:tc>
          <w:tcPr>
            <w:tcW w:w="96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3"/>
                <w:szCs w:val="13"/>
                <w:color w:val="auto"/>
              </w:rPr>
              <w:t>(c) ($)</w:t>
            </w:r>
          </w:p>
        </w:tc>
        <w:tc>
          <w:tcPr>
            <w:tcW w:w="9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w:t>
            </w:r>
          </w:p>
        </w:tc>
      </w:tr>
      <w:tr>
        <w:trPr>
          <w:trHeight w:val="142"/>
        </w:trPr>
        <w:tc>
          <w:tcPr>
            <w:tcW w:w="1920" w:type="dxa"/>
            <w:vAlign w:val="bottom"/>
            <w:shd w:val="clear" w:color="auto" w:fill="E5E5E5"/>
          </w:tcPr>
          <w:p>
            <w:pPr>
              <w:spacing w:after="0" w:line="142" w:lineRule="exact"/>
              <w:rPr>
                <w:sz w:val="20"/>
                <w:szCs w:val="20"/>
                <w:color w:val="auto"/>
              </w:rPr>
            </w:pPr>
            <w:r>
              <w:rPr>
                <w:rFonts w:ascii="Arial" w:cs="Arial" w:eastAsia="Arial" w:hAnsi="Arial"/>
                <w:sz w:val="13"/>
                <w:szCs w:val="13"/>
                <w:color w:val="auto"/>
              </w:rPr>
              <w:t>G. Manning Rountree</w:t>
            </w:r>
          </w:p>
        </w:tc>
        <w:tc>
          <w:tcPr>
            <w:tcW w:w="1040" w:type="dxa"/>
            <w:vAlign w:val="bottom"/>
            <w:shd w:val="clear" w:color="auto" w:fill="E5E5E5"/>
          </w:tcPr>
          <w:p>
            <w:pPr>
              <w:ind w:left="540"/>
              <w:spacing w:after="0" w:line="142" w:lineRule="exact"/>
              <w:rPr>
                <w:sz w:val="20"/>
                <w:szCs w:val="20"/>
                <w:color w:val="auto"/>
              </w:rPr>
            </w:pPr>
            <w:r>
              <w:rPr>
                <w:rFonts w:ascii="Arial" w:cs="Arial" w:eastAsia="Arial" w:hAnsi="Arial"/>
                <w:sz w:val="13"/>
                <w:szCs w:val="13"/>
                <w:color w:val="auto"/>
              </w:rPr>
              <w:t>2025</w:t>
            </w:r>
          </w:p>
        </w:tc>
        <w:tc>
          <w:tcPr>
            <w:tcW w:w="1000" w:type="dxa"/>
            <w:vAlign w:val="bottom"/>
            <w:shd w:val="clear" w:color="auto" w:fill="E5E5E5"/>
          </w:tcPr>
          <w:p>
            <w:pPr>
              <w:jc w:val="right"/>
              <w:ind w:right="234"/>
              <w:spacing w:after="0" w:line="142" w:lineRule="exact"/>
              <w:rPr>
                <w:sz w:val="20"/>
                <w:szCs w:val="20"/>
                <w:color w:val="auto"/>
              </w:rPr>
            </w:pPr>
            <w:r>
              <w:rPr>
                <w:rFonts w:ascii="Arial" w:cs="Arial" w:eastAsia="Arial" w:hAnsi="Arial"/>
                <w:sz w:val="13"/>
                <w:szCs w:val="13"/>
                <w:color w:val="auto"/>
              </w:rPr>
              <w:t>-</w:t>
            </w:r>
          </w:p>
        </w:tc>
        <w:tc>
          <w:tcPr>
            <w:tcW w:w="1000" w:type="dxa"/>
            <w:vAlign w:val="bottom"/>
            <w:shd w:val="clear" w:color="auto" w:fill="E5E5E5"/>
          </w:tcPr>
          <w:p>
            <w:pPr>
              <w:jc w:val="right"/>
              <w:ind w:right="114"/>
              <w:spacing w:after="0" w:line="142" w:lineRule="exact"/>
              <w:rPr>
                <w:sz w:val="20"/>
                <w:szCs w:val="20"/>
                <w:color w:val="auto"/>
              </w:rPr>
            </w:pPr>
            <w:r>
              <w:rPr>
                <w:rFonts w:ascii="Arial" w:cs="Arial" w:eastAsia="Arial" w:hAnsi="Arial"/>
                <w:sz w:val="13"/>
                <w:szCs w:val="13"/>
                <w:color w:val="auto"/>
              </w:rPr>
              <w:t>279,209</w:t>
            </w:r>
          </w:p>
        </w:tc>
        <w:tc>
          <w:tcPr>
            <w:tcW w:w="960" w:type="dxa"/>
            <w:vAlign w:val="bottom"/>
            <w:shd w:val="clear" w:color="auto" w:fill="E5E5E5"/>
          </w:tcPr>
          <w:p>
            <w:pPr>
              <w:jc w:val="right"/>
              <w:ind w:right="74"/>
              <w:spacing w:after="0" w:line="142" w:lineRule="exact"/>
              <w:rPr>
                <w:sz w:val="20"/>
                <w:szCs w:val="20"/>
                <w:color w:val="auto"/>
              </w:rPr>
            </w:pPr>
            <w:r>
              <w:rPr>
                <w:rFonts w:ascii="Arial" w:cs="Arial" w:eastAsia="Arial" w:hAnsi="Arial"/>
                <w:sz w:val="13"/>
                <w:szCs w:val="13"/>
                <w:color w:val="auto"/>
              </w:rPr>
              <w:t>8,100</w:t>
            </w:r>
          </w:p>
        </w:tc>
        <w:tc>
          <w:tcPr>
            <w:tcW w:w="1060" w:type="dxa"/>
            <w:vAlign w:val="bottom"/>
            <w:shd w:val="clear" w:color="auto" w:fill="E5E5E5"/>
          </w:tcPr>
          <w:p>
            <w:pPr>
              <w:jc w:val="right"/>
              <w:ind w:right="114"/>
              <w:spacing w:after="0" w:line="142" w:lineRule="exact"/>
              <w:rPr>
                <w:sz w:val="20"/>
                <w:szCs w:val="20"/>
                <w:color w:val="auto"/>
              </w:rPr>
            </w:pPr>
            <w:r>
              <w:rPr>
                <w:rFonts w:ascii="Arial" w:cs="Arial" w:eastAsia="Arial" w:hAnsi="Arial"/>
                <w:sz w:val="13"/>
                <w:szCs w:val="13"/>
                <w:color w:val="auto"/>
              </w:rPr>
              <w:t>15,750</w:t>
            </w:r>
          </w:p>
        </w:tc>
        <w:tc>
          <w:tcPr>
            <w:tcW w:w="1060" w:type="dxa"/>
            <w:vAlign w:val="bottom"/>
            <w:shd w:val="clear" w:color="auto" w:fill="E5E5E5"/>
          </w:tcPr>
          <w:p>
            <w:pPr>
              <w:jc w:val="right"/>
              <w:ind w:right="174"/>
              <w:spacing w:after="0" w:line="142" w:lineRule="exact"/>
              <w:rPr>
                <w:sz w:val="20"/>
                <w:szCs w:val="20"/>
                <w:color w:val="auto"/>
              </w:rPr>
            </w:pPr>
            <w:r>
              <w:rPr>
                <w:rFonts w:ascii="Arial" w:cs="Arial" w:eastAsia="Arial" w:hAnsi="Arial"/>
                <w:sz w:val="13"/>
                <w:szCs w:val="13"/>
                <w:color w:val="auto"/>
              </w:rPr>
              <w:t>5,058</w:t>
            </w:r>
          </w:p>
        </w:tc>
        <w:tc>
          <w:tcPr>
            <w:tcW w:w="1140" w:type="dxa"/>
            <w:vAlign w:val="bottom"/>
            <w:shd w:val="clear" w:color="auto" w:fill="E5E5E5"/>
          </w:tcPr>
          <w:p>
            <w:pPr>
              <w:jc w:val="right"/>
              <w:ind w:right="214"/>
              <w:spacing w:after="0" w:line="142" w:lineRule="exact"/>
              <w:rPr>
                <w:sz w:val="20"/>
                <w:szCs w:val="20"/>
                <w:color w:val="auto"/>
              </w:rPr>
            </w:pPr>
            <w:r>
              <w:rPr>
                <w:rFonts w:ascii="Arial" w:cs="Arial" w:eastAsia="Arial" w:hAnsi="Arial"/>
                <w:sz w:val="13"/>
                <w:szCs w:val="13"/>
                <w:color w:val="auto"/>
              </w:rPr>
              <w:t>1,574</w:t>
            </w:r>
          </w:p>
        </w:tc>
        <w:tc>
          <w:tcPr>
            <w:tcW w:w="940" w:type="dxa"/>
            <w:vAlign w:val="bottom"/>
            <w:shd w:val="clear" w:color="auto" w:fill="E5E5E5"/>
          </w:tcPr>
          <w:p>
            <w:pPr>
              <w:jc w:val="right"/>
              <w:ind w:right="114"/>
              <w:spacing w:after="0" w:line="142" w:lineRule="exact"/>
              <w:rPr>
                <w:sz w:val="20"/>
                <w:szCs w:val="20"/>
                <w:color w:val="auto"/>
              </w:rPr>
            </w:pPr>
            <w:r>
              <w:rPr>
                <w:rFonts w:ascii="Arial" w:cs="Arial" w:eastAsia="Arial" w:hAnsi="Arial"/>
                <w:sz w:val="13"/>
                <w:szCs w:val="13"/>
                <w:color w:val="auto"/>
              </w:rPr>
              <w:t>309,691</w:t>
            </w:r>
          </w:p>
        </w:tc>
      </w:tr>
      <w:tr>
        <w:trPr>
          <w:trHeight w:val="149"/>
        </w:trPr>
        <w:tc>
          <w:tcPr>
            <w:tcW w:w="1920" w:type="dxa"/>
            <w:vAlign w:val="bottom"/>
            <w:shd w:val="clear" w:color="auto" w:fill="E5E5E5"/>
          </w:tcPr>
          <w:p>
            <w:pPr>
              <w:spacing w:after="0"/>
              <w:rPr>
                <w:sz w:val="12"/>
                <w:szCs w:val="12"/>
                <w:color w:val="auto"/>
              </w:rPr>
            </w:pPr>
          </w:p>
        </w:tc>
        <w:tc>
          <w:tcPr>
            <w:tcW w:w="1040" w:type="dxa"/>
            <w:vAlign w:val="bottom"/>
            <w:shd w:val="clear" w:color="auto" w:fill="E5E5E5"/>
          </w:tcPr>
          <w:p>
            <w:pPr>
              <w:ind w:left="540"/>
              <w:spacing w:after="0"/>
              <w:rPr>
                <w:sz w:val="20"/>
                <w:szCs w:val="20"/>
                <w:color w:val="auto"/>
              </w:rPr>
            </w:pPr>
            <w:r>
              <w:rPr>
                <w:rFonts w:ascii="Arial" w:cs="Arial" w:eastAsia="Arial" w:hAnsi="Arial"/>
                <w:sz w:val="13"/>
                <w:szCs w:val="13"/>
                <w:color w:val="auto"/>
              </w:rPr>
              <w:t>2024</w:t>
            </w:r>
          </w:p>
        </w:tc>
        <w:tc>
          <w:tcPr>
            <w:tcW w:w="1000" w:type="dxa"/>
            <w:vAlign w:val="bottom"/>
            <w:shd w:val="clear" w:color="auto" w:fill="E5E5E5"/>
          </w:tcPr>
          <w:p>
            <w:pPr>
              <w:jc w:val="right"/>
              <w:ind w:right="234"/>
              <w:spacing w:after="0"/>
              <w:rPr>
                <w:sz w:val="20"/>
                <w:szCs w:val="20"/>
                <w:color w:val="auto"/>
              </w:rPr>
            </w:pPr>
            <w:r>
              <w:rPr>
                <w:rFonts w:ascii="Arial" w:cs="Arial" w:eastAsia="Arial" w:hAnsi="Arial"/>
                <w:sz w:val="13"/>
                <w:szCs w:val="13"/>
                <w:color w:val="auto"/>
              </w:rPr>
              <w:t>27,500</w:t>
            </w:r>
          </w:p>
        </w:tc>
        <w:tc>
          <w:tcPr>
            <w:tcW w:w="1000" w:type="dxa"/>
            <w:vAlign w:val="bottom"/>
            <w:shd w:val="clear" w:color="auto" w:fill="E5E5E5"/>
          </w:tcPr>
          <w:p>
            <w:pPr>
              <w:jc w:val="right"/>
              <w:ind w:right="114"/>
              <w:spacing w:after="0"/>
              <w:rPr>
                <w:sz w:val="20"/>
                <w:szCs w:val="20"/>
                <w:color w:val="auto"/>
              </w:rPr>
            </w:pPr>
            <w:r>
              <w:rPr>
                <w:rFonts w:ascii="Arial" w:cs="Arial" w:eastAsia="Arial" w:hAnsi="Arial"/>
                <w:sz w:val="13"/>
                <w:szCs w:val="13"/>
                <w:color w:val="auto"/>
              </w:rPr>
              <w:t>202,931</w:t>
            </w:r>
          </w:p>
        </w:tc>
        <w:tc>
          <w:tcPr>
            <w:tcW w:w="960" w:type="dxa"/>
            <w:vAlign w:val="bottom"/>
            <w:shd w:val="clear" w:color="auto" w:fill="E5E5E5"/>
          </w:tcPr>
          <w:p>
            <w:pPr>
              <w:jc w:val="right"/>
              <w:ind w:right="74"/>
              <w:spacing w:after="0"/>
              <w:rPr>
                <w:sz w:val="20"/>
                <w:szCs w:val="20"/>
                <w:color w:val="auto"/>
              </w:rPr>
            </w:pPr>
            <w:r>
              <w:rPr>
                <w:rFonts w:ascii="Arial" w:cs="Arial" w:eastAsia="Arial" w:hAnsi="Arial"/>
                <w:sz w:val="13"/>
                <w:szCs w:val="13"/>
                <w:color w:val="auto"/>
              </w:rPr>
              <w:t>8,100</w:t>
            </w:r>
          </w:p>
        </w:tc>
        <w:tc>
          <w:tcPr>
            <w:tcW w:w="1060" w:type="dxa"/>
            <w:vAlign w:val="bottom"/>
            <w:shd w:val="clear" w:color="auto" w:fill="E5E5E5"/>
          </w:tcPr>
          <w:p>
            <w:pPr>
              <w:jc w:val="right"/>
              <w:ind w:right="114"/>
              <w:spacing w:after="0"/>
              <w:rPr>
                <w:sz w:val="20"/>
                <w:szCs w:val="20"/>
                <w:color w:val="auto"/>
              </w:rPr>
            </w:pPr>
            <w:r>
              <w:rPr>
                <w:rFonts w:ascii="Arial" w:cs="Arial" w:eastAsia="Arial" w:hAnsi="Arial"/>
                <w:sz w:val="13"/>
                <w:szCs w:val="13"/>
                <w:color w:val="auto"/>
              </w:rPr>
              <w:t>15,525</w:t>
            </w:r>
          </w:p>
        </w:tc>
        <w:tc>
          <w:tcPr>
            <w:tcW w:w="1060" w:type="dxa"/>
            <w:vAlign w:val="bottom"/>
            <w:shd w:val="clear" w:color="auto" w:fill="E5E5E5"/>
          </w:tcPr>
          <w:p>
            <w:pPr>
              <w:jc w:val="right"/>
              <w:ind w:right="174"/>
              <w:spacing w:after="0"/>
              <w:rPr>
                <w:sz w:val="20"/>
                <w:szCs w:val="20"/>
                <w:color w:val="auto"/>
              </w:rPr>
            </w:pPr>
            <w:r>
              <w:rPr>
                <w:rFonts w:ascii="Arial" w:cs="Arial" w:eastAsia="Arial" w:hAnsi="Arial"/>
                <w:sz w:val="13"/>
                <w:szCs w:val="13"/>
                <w:color w:val="auto"/>
              </w:rPr>
              <w:t>4,806</w:t>
            </w:r>
          </w:p>
        </w:tc>
        <w:tc>
          <w:tcPr>
            <w:tcW w:w="1140" w:type="dxa"/>
            <w:vAlign w:val="bottom"/>
            <w:shd w:val="clear" w:color="auto" w:fill="E5E5E5"/>
          </w:tcPr>
          <w:p>
            <w:pPr>
              <w:jc w:val="right"/>
              <w:ind w:right="214"/>
              <w:spacing w:after="0"/>
              <w:rPr>
                <w:sz w:val="20"/>
                <w:szCs w:val="20"/>
                <w:color w:val="auto"/>
              </w:rPr>
            </w:pPr>
            <w:r>
              <w:rPr>
                <w:rFonts w:ascii="Arial" w:cs="Arial" w:eastAsia="Arial" w:hAnsi="Arial"/>
                <w:sz w:val="13"/>
                <w:szCs w:val="13"/>
                <w:color w:val="auto"/>
              </w:rPr>
              <w:t>-</w:t>
            </w:r>
          </w:p>
        </w:tc>
        <w:tc>
          <w:tcPr>
            <w:tcW w:w="940" w:type="dxa"/>
            <w:vAlign w:val="bottom"/>
            <w:shd w:val="clear" w:color="auto" w:fill="E5E5E5"/>
          </w:tcPr>
          <w:p>
            <w:pPr>
              <w:jc w:val="right"/>
              <w:ind w:right="114"/>
              <w:spacing w:after="0"/>
              <w:rPr>
                <w:sz w:val="20"/>
                <w:szCs w:val="20"/>
                <w:color w:val="auto"/>
              </w:rPr>
            </w:pPr>
            <w:r>
              <w:rPr>
                <w:rFonts w:ascii="Arial" w:cs="Arial" w:eastAsia="Arial" w:hAnsi="Arial"/>
                <w:sz w:val="13"/>
                <w:szCs w:val="13"/>
                <w:color w:val="auto"/>
              </w:rPr>
              <w:t>258,862</w:t>
            </w:r>
          </w:p>
        </w:tc>
      </w:tr>
      <w:tr>
        <w:trPr>
          <w:trHeight w:val="149"/>
        </w:trPr>
        <w:tc>
          <w:tcPr>
            <w:tcW w:w="1920" w:type="dxa"/>
            <w:vAlign w:val="bottom"/>
            <w:tcBorders>
              <w:bottom w:val="single" w:sz="8" w:color="auto"/>
            </w:tcBorders>
            <w:shd w:val="clear" w:color="auto" w:fill="E5E5E5"/>
          </w:tcPr>
          <w:p>
            <w:pPr>
              <w:spacing w:after="0"/>
              <w:rPr>
                <w:sz w:val="12"/>
                <w:szCs w:val="12"/>
                <w:color w:val="auto"/>
              </w:rPr>
            </w:pPr>
          </w:p>
        </w:tc>
        <w:tc>
          <w:tcPr>
            <w:tcW w:w="1040" w:type="dxa"/>
            <w:vAlign w:val="bottom"/>
            <w:tcBorders>
              <w:bottom w:val="single" w:sz="8" w:color="auto"/>
            </w:tcBorders>
            <w:shd w:val="clear" w:color="auto" w:fill="E5E5E5"/>
          </w:tcPr>
          <w:p>
            <w:pPr>
              <w:ind w:left="540"/>
              <w:spacing w:after="0"/>
              <w:rPr>
                <w:sz w:val="20"/>
                <w:szCs w:val="20"/>
                <w:color w:val="auto"/>
              </w:rPr>
            </w:pPr>
            <w:r>
              <w:rPr>
                <w:rFonts w:ascii="Arial" w:cs="Arial" w:eastAsia="Arial" w:hAnsi="Arial"/>
                <w:sz w:val="13"/>
                <w:szCs w:val="13"/>
                <w:color w:val="auto"/>
              </w:rPr>
              <w:t>2023</w:t>
            </w:r>
          </w:p>
        </w:tc>
        <w:tc>
          <w:tcPr>
            <w:tcW w:w="1000" w:type="dxa"/>
            <w:vAlign w:val="bottom"/>
            <w:tcBorders>
              <w:bottom w:val="single" w:sz="8" w:color="auto"/>
            </w:tcBorders>
            <w:shd w:val="clear" w:color="auto" w:fill="E5E5E5"/>
          </w:tcPr>
          <w:p>
            <w:pPr>
              <w:jc w:val="right"/>
              <w:ind w:right="234"/>
              <w:spacing w:after="0"/>
              <w:rPr>
                <w:sz w:val="20"/>
                <w:szCs w:val="20"/>
                <w:color w:val="auto"/>
              </w:rPr>
            </w:pPr>
            <w:r>
              <w:rPr>
                <w:rFonts w:ascii="Arial" w:cs="Arial" w:eastAsia="Arial" w:hAnsi="Arial"/>
                <w:sz w:val="13"/>
                <w:szCs w:val="13"/>
                <w:color w:val="auto"/>
              </w:rPr>
              <w:t>110,000</w:t>
            </w:r>
          </w:p>
        </w:tc>
        <w:tc>
          <w:tcPr>
            <w:tcW w:w="100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3"/>
                <w:szCs w:val="13"/>
                <w:color w:val="auto"/>
              </w:rPr>
              <w:t>217,106</w:t>
            </w:r>
          </w:p>
        </w:tc>
        <w:tc>
          <w:tcPr>
            <w:tcW w:w="96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3"/>
                <w:szCs w:val="13"/>
                <w:color w:val="auto"/>
              </w:rPr>
              <w:t>8,100</w:t>
            </w:r>
          </w:p>
        </w:tc>
        <w:tc>
          <w:tcPr>
            <w:tcW w:w="106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3"/>
                <w:szCs w:val="13"/>
                <w:color w:val="auto"/>
              </w:rPr>
              <w:t>14,850</w:t>
            </w:r>
          </w:p>
        </w:tc>
        <w:tc>
          <w:tcPr>
            <w:tcW w:w="106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3"/>
                <w:szCs w:val="13"/>
                <w:color w:val="auto"/>
              </w:rPr>
              <w:t>4,410</w:t>
            </w:r>
          </w:p>
        </w:tc>
        <w:tc>
          <w:tcPr>
            <w:tcW w:w="114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3"/>
                <w:szCs w:val="13"/>
                <w:color w:val="auto"/>
              </w:rPr>
              <w:t>354,466</w:t>
            </w:r>
          </w:p>
        </w:tc>
      </w:tr>
      <w:tr>
        <w:trPr>
          <w:trHeight w:val="134"/>
        </w:trPr>
        <w:tc>
          <w:tcPr>
            <w:tcW w:w="1920" w:type="dxa"/>
            <w:vAlign w:val="bottom"/>
          </w:tcPr>
          <w:p>
            <w:pPr>
              <w:spacing w:after="0" w:line="134" w:lineRule="exact"/>
              <w:rPr>
                <w:sz w:val="20"/>
                <w:szCs w:val="20"/>
                <w:color w:val="auto"/>
              </w:rPr>
            </w:pPr>
            <w:r>
              <w:rPr>
                <w:rFonts w:ascii="Arial" w:cs="Arial" w:eastAsia="Arial" w:hAnsi="Arial"/>
                <w:sz w:val="13"/>
                <w:szCs w:val="13"/>
                <w:color w:val="auto"/>
              </w:rPr>
              <w:t>Liam P. Caffrey</w:t>
            </w:r>
          </w:p>
        </w:tc>
        <w:tc>
          <w:tcPr>
            <w:tcW w:w="1040" w:type="dxa"/>
            <w:vAlign w:val="bottom"/>
          </w:tcPr>
          <w:p>
            <w:pPr>
              <w:ind w:left="540"/>
              <w:spacing w:after="0" w:line="134" w:lineRule="exact"/>
              <w:rPr>
                <w:sz w:val="20"/>
                <w:szCs w:val="20"/>
                <w:color w:val="auto"/>
              </w:rPr>
            </w:pPr>
            <w:r>
              <w:rPr>
                <w:rFonts w:ascii="Arial" w:cs="Arial" w:eastAsia="Arial" w:hAnsi="Arial"/>
                <w:sz w:val="13"/>
                <w:szCs w:val="13"/>
                <w:color w:val="auto"/>
              </w:rPr>
              <w:t>2025</w:t>
            </w:r>
          </w:p>
        </w:tc>
        <w:tc>
          <w:tcPr>
            <w:tcW w:w="1000" w:type="dxa"/>
            <w:vAlign w:val="bottom"/>
          </w:tcPr>
          <w:p>
            <w:pPr>
              <w:jc w:val="right"/>
              <w:ind w:right="234"/>
              <w:spacing w:after="0" w:line="134"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114"/>
              <w:spacing w:after="0" w:line="134" w:lineRule="exact"/>
              <w:rPr>
                <w:sz w:val="20"/>
                <w:szCs w:val="20"/>
                <w:color w:val="auto"/>
              </w:rPr>
            </w:pPr>
            <w:r>
              <w:rPr>
                <w:rFonts w:ascii="Arial" w:cs="Arial" w:eastAsia="Arial" w:hAnsi="Arial"/>
                <w:sz w:val="13"/>
                <w:szCs w:val="13"/>
                <w:color w:val="auto"/>
              </w:rPr>
              <w:t>364,943</w:t>
            </w:r>
          </w:p>
        </w:tc>
        <w:tc>
          <w:tcPr>
            <w:tcW w:w="960" w:type="dxa"/>
            <w:vAlign w:val="bottom"/>
          </w:tcPr>
          <w:p>
            <w:pPr>
              <w:jc w:val="right"/>
              <w:ind w:right="74"/>
              <w:spacing w:after="0" w:line="134" w:lineRule="exact"/>
              <w:rPr>
                <w:sz w:val="20"/>
                <w:szCs w:val="20"/>
                <w:color w:val="auto"/>
              </w:rPr>
            </w:pPr>
            <w:r>
              <w:rPr>
                <w:rFonts w:ascii="Arial" w:cs="Arial" w:eastAsia="Arial" w:hAnsi="Arial"/>
                <w:sz w:val="13"/>
                <w:szCs w:val="13"/>
                <w:color w:val="auto"/>
              </w:rPr>
              <w:t>3,750</w:t>
            </w:r>
          </w:p>
        </w:tc>
        <w:tc>
          <w:tcPr>
            <w:tcW w:w="1060" w:type="dxa"/>
            <w:vAlign w:val="bottom"/>
          </w:tcPr>
          <w:p>
            <w:pPr>
              <w:jc w:val="right"/>
              <w:ind w:right="114"/>
              <w:spacing w:after="0" w:line="134" w:lineRule="exact"/>
              <w:rPr>
                <w:sz w:val="20"/>
                <w:szCs w:val="20"/>
                <w:color w:val="auto"/>
              </w:rPr>
            </w:pPr>
            <w:r>
              <w:rPr>
                <w:rFonts w:ascii="Arial" w:cs="Arial" w:eastAsia="Arial" w:hAnsi="Arial"/>
                <w:sz w:val="13"/>
                <w:szCs w:val="13"/>
                <w:color w:val="auto"/>
              </w:rPr>
              <w:t>15,750</w:t>
            </w:r>
          </w:p>
        </w:tc>
        <w:tc>
          <w:tcPr>
            <w:tcW w:w="1060" w:type="dxa"/>
            <w:vAlign w:val="bottom"/>
          </w:tcPr>
          <w:p>
            <w:pPr>
              <w:jc w:val="right"/>
              <w:ind w:right="174"/>
              <w:spacing w:after="0" w:line="134" w:lineRule="exact"/>
              <w:rPr>
                <w:sz w:val="20"/>
                <w:szCs w:val="20"/>
                <w:color w:val="auto"/>
              </w:rPr>
            </w:pPr>
            <w:r>
              <w:rPr>
                <w:rFonts w:ascii="Arial" w:cs="Arial" w:eastAsia="Arial" w:hAnsi="Arial"/>
                <w:sz w:val="13"/>
                <w:szCs w:val="13"/>
                <w:color w:val="auto"/>
              </w:rPr>
              <w:t>5,058</w:t>
            </w:r>
          </w:p>
        </w:tc>
        <w:tc>
          <w:tcPr>
            <w:tcW w:w="1140" w:type="dxa"/>
            <w:vAlign w:val="bottom"/>
          </w:tcPr>
          <w:p>
            <w:pPr>
              <w:jc w:val="right"/>
              <w:ind w:right="214"/>
              <w:spacing w:after="0" w:line="134"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114"/>
              <w:spacing w:after="0" w:line="134" w:lineRule="exact"/>
              <w:rPr>
                <w:sz w:val="20"/>
                <w:szCs w:val="20"/>
                <w:color w:val="auto"/>
              </w:rPr>
            </w:pPr>
            <w:r>
              <w:rPr>
                <w:rFonts w:ascii="Arial" w:cs="Arial" w:eastAsia="Arial" w:hAnsi="Arial"/>
                <w:sz w:val="13"/>
                <w:szCs w:val="13"/>
                <w:color w:val="auto"/>
              </w:rPr>
              <w:t>389,501</w:t>
            </w:r>
          </w:p>
        </w:tc>
      </w:tr>
      <w:tr>
        <w:trPr>
          <w:trHeight w:val="149"/>
        </w:trPr>
        <w:tc>
          <w:tcPr>
            <w:tcW w:w="1920" w:type="dxa"/>
            <w:vAlign w:val="bottom"/>
          </w:tcPr>
          <w:p>
            <w:pPr>
              <w:spacing w:after="0"/>
              <w:rPr>
                <w:sz w:val="12"/>
                <w:szCs w:val="12"/>
                <w:color w:val="auto"/>
              </w:rPr>
            </w:pPr>
          </w:p>
        </w:tc>
        <w:tc>
          <w:tcPr>
            <w:tcW w:w="1040" w:type="dxa"/>
            <w:vAlign w:val="bottom"/>
          </w:tcPr>
          <w:p>
            <w:pPr>
              <w:ind w:left="540"/>
              <w:spacing w:after="0"/>
              <w:rPr>
                <w:sz w:val="20"/>
                <w:szCs w:val="20"/>
                <w:color w:val="auto"/>
              </w:rPr>
            </w:pPr>
            <w:r>
              <w:rPr>
                <w:rFonts w:ascii="Arial" w:cs="Arial" w:eastAsia="Arial" w:hAnsi="Arial"/>
                <w:sz w:val="13"/>
                <w:szCs w:val="13"/>
                <w:color w:val="auto"/>
              </w:rPr>
              <w:t>2024</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4"/>
              <w:spacing w:after="0"/>
              <w:rPr>
                <w:sz w:val="20"/>
                <w:szCs w:val="20"/>
                <w:color w:val="auto"/>
              </w:rPr>
            </w:pPr>
            <w:r>
              <w:rPr>
                <w:rFonts w:ascii="Arial" w:cs="Arial" w:eastAsia="Arial" w:hAnsi="Arial"/>
                <w:sz w:val="13"/>
                <w:szCs w:val="13"/>
                <w:color w:val="auto"/>
              </w:rPr>
              <w:t>340,790</w:t>
            </w:r>
          </w:p>
        </w:tc>
        <w:tc>
          <w:tcPr>
            <w:tcW w:w="9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14"/>
              <w:spacing w:after="0"/>
              <w:rPr>
                <w:sz w:val="20"/>
                <w:szCs w:val="20"/>
                <w:color w:val="auto"/>
              </w:rPr>
            </w:pPr>
            <w:r>
              <w:rPr>
                <w:rFonts w:ascii="Arial" w:cs="Arial" w:eastAsia="Arial" w:hAnsi="Arial"/>
                <w:sz w:val="13"/>
                <w:szCs w:val="13"/>
                <w:color w:val="auto"/>
              </w:rPr>
              <w:t>15,525</w:t>
            </w:r>
          </w:p>
        </w:tc>
        <w:tc>
          <w:tcPr>
            <w:tcW w:w="1060" w:type="dxa"/>
            <w:vAlign w:val="bottom"/>
          </w:tcPr>
          <w:p>
            <w:pPr>
              <w:jc w:val="right"/>
              <w:ind w:right="174"/>
              <w:spacing w:after="0"/>
              <w:rPr>
                <w:sz w:val="20"/>
                <w:szCs w:val="20"/>
                <w:color w:val="auto"/>
              </w:rPr>
            </w:pPr>
            <w:r>
              <w:rPr>
                <w:rFonts w:ascii="Arial" w:cs="Arial" w:eastAsia="Arial" w:hAnsi="Arial"/>
                <w:sz w:val="13"/>
                <w:szCs w:val="13"/>
                <w:color w:val="auto"/>
              </w:rPr>
              <w:t>4,806</w:t>
            </w:r>
          </w:p>
        </w:tc>
        <w:tc>
          <w:tcPr>
            <w:tcW w:w="114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14"/>
              <w:spacing w:after="0"/>
              <w:rPr>
                <w:sz w:val="20"/>
                <w:szCs w:val="20"/>
                <w:color w:val="auto"/>
              </w:rPr>
            </w:pPr>
            <w:r>
              <w:rPr>
                <w:rFonts w:ascii="Arial" w:cs="Arial" w:eastAsia="Arial" w:hAnsi="Arial"/>
                <w:sz w:val="13"/>
                <w:szCs w:val="13"/>
                <w:color w:val="auto"/>
              </w:rPr>
              <w:t>361,121</w:t>
            </w:r>
          </w:p>
        </w:tc>
      </w:tr>
      <w:tr>
        <w:trPr>
          <w:trHeight w:val="157"/>
        </w:trPr>
        <w:tc>
          <w:tcPr>
            <w:tcW w:w="19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ind w:left="540"/>
              <w:spacing w:after="0"/>
              <w:rPr>
                <w:sz w:val="20"/>
                <w:szCs w:val="20"/>
                <w:color w:val="auto"/>
              </w:rPr>
            </w:pPr>
            <w:r>
              <w:rPr>
                <w:rFonts w:ascii="Arial" w:cs="Arial" w:eastAsia="Arial" w:hAnsi="Arial"/>
                <w:sz w:val="13"/>
                <w:szCs w:val="13"/>
                <w:color w:val="auto"/>
              </w:rPr>
              <w:t>2023</w:t>
            </w:r>
          </w:p>
        </w:tc>
        <w:tc>
          <w:tcPr>
            <w:tcW w:w="100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300,589</w:t>
            </w:r>
          </w:p>
        </w:tc>
        <w:tc>
          <w:tcPr>
            <w:tcW w:w="96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14,850</w:t>
            </w:r>
          </w:p>
        </w:tc>
        <w:tc>
          <w:tcPr>
            <w:tcW w:w="106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color w:val="auto"/>
              </w:rPr>
              <w:t>4,410</w:t>
            </w:r>
          </w:p>
        </w:tc>
        <w:tc>
          <w:tcPr>
            <w:tcW w:w="114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color w:val="auto"/>
              </w:rPr>
              <w:t>16,035</w:t>
            </w:r>
          </w:p>
        </w:tc>
        <w:tc>
          <w:tcPr>
            <w:tcW w:w="9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335,884</w:t>
            </w:r>
          </w:p>
        </w:tc>
      </w:tr>
      <w:tr>
        <w:trPr>
          <w:trHeight w:val="142"/>
        </w:trPr>
        <w:tc>
          <w:tcPr>
            <w:tcW w:w="1920" w:type="dxa"/>
            <w:vAlign w:val="bottom"/>
            <w:shd w:val="clear" w:color="auto" w:fill="E7E6E6"/>
          </w:tcPr>
          <w:p>
            <w:pPr>
              <w:spacing w:after="0" w:line="142" w:lineRule="exact"/>
              <w:rPr>
                <w:sz w:val="20"/>
                <w:szCs w:val="20"/>
                <w:color w:val="auto"/>
              </w:rPr>
            </w:pPr>
            <w:r>
              <w:rPr>
                <w:rFonts w:ascii="Arial" w:cs="Arial" w:eastAsia="Arial" w:hAnsi="Arial"/>
                <w:sz w:val="13"/>
                <w:szCs w:val="13"/>
                <w:color w:val="auto"/>
              </w:rPr>
              <w:t>Giles E. Harrison</w:t>
            </w:r>
          </w:p>
        </w:tc>
        <w:tc>
          <w:tcPr>
            <w:tcW w:w="1040" w:type="dxa"/>
            <w:vAlign w:val="bottom"/>
            <w:shd w:val="clear" w:color="auto" w:fill="E7E6E6"/>
          </w:tcPr>
          <w:p>
            <w:pPr>
              <w:ind w:left="540"/>
              <w:spacing w:after="0" w:line="142" w:lineRule="exact"/>
              <w:rPr>
                <w:sz w:val="20"/>
                <w:szCs w:val="20"/>
                <w:color w:val="auto"/>
              </w:rPr>
            </w:pPr>
            <w:r>
              <w:rPr>
                <w:rFonts w:ascii="Arial" w:cs="Arial" w:eastAsia="Arial" w:hAnsi="Arial"/>
                <w:sz w:val="13"/>
                <w:szCs w:val="13"/>
                <w:color w:val="auto"/>
              </w:rPr>
              <w:t>2025</w:t>
            </w:r>
          </w:p>
        </w:tc>
        <w:tc>
          <w:tcPr>
            <w:tcW w:w="1000" w:type="dxa"/>
            <w:vAlign w:val="bottom"/>
            <w:shd w:val="clear" w:color="auto" w:fill="E7E6E6"/>
          </w:tcPr>
          <w:p>
            <w:pPr>
              <w:jc w:val="right"/>
              <w:ind w:right="234"/>
              <w:spacing w:after="0" w:line="142" w:lineRule="exact"/>
              <w:rPr>
                <w:sz w:val="20"/>
                <w:szCs w:val="20"/>
                <w:color w:val="auto"/>
              </w:rPr>
            </w:pPr>
            <w:r>
              <w:rPr>
                <w:rFonts w:ascii="Arial" w:cs="Arial" w:eastAsia="Arial" w:hAnsi="Arial"/>
                <w:sz w:val="13"/>
                <w:szCs w:val="13"/>
                <w:color w:val="auto"/>
              </w:rPr>
              <w:t>-</w:t>
            </w:r>
          </w:p>
        </w:tc>
        <w:tc>
          <w:tcPr>
            <w:tcW w:w="1000" w:type="dxa"/>
            <w:vAlign w:val="bottom"/>
            <w:shd w:val="clear" w:color="auto" w:fill="E7E6E6"/>
          </w:tcPr>
          <w:p>
            <w:pPr>
              <w:jc w:val="right"/>
              <w:ind w:right="114"/>
              <w:spacing w:after="0" w:line="142" w:lineRule="exact"/>
              <w:rPr>
                <w:sz w:val="20"/>
                <w:szCs w:val="20"/>
                <w:color w:val="auto"/>
              </w:rPr>
            </w:pPr>
            <w:r>
              <w:rPr>
                <w:rFonts w:ascii="Arial" w:cs="Arial" w:eastAsia="Arial" w:hAnsi="Arial"/>
                <w:sz w:val="13"/>
                <w:szCs w:val="13"/>
                <w:color w:val="auto"/>
              </w:rPr>
              <w:t>-</w:t>
            </w:r>
          </w:p>
        </w:tc>
        <w:tc>
          <w:tcPr>
            <w:tcW w:w="960" w:type="dxa"/>
            <w:vAlign w:val="bottom"/>
            <w:shd w:val="clear" w:color="auto" w:fill="E7E6E6"/>
          </w:tcPr>
          <w:p>
            <w:pPr>
              <w:jc w:val="right"/>
              <w:ind w:right="74"/>
              <w:spacing w:after="0" w:line="142" w:lineRule="exact"/>
              <w:rPr>
                <w:sz w:val="20"/>
                <w:szCs w:val="20"/>
                <w:color w:val="auto"/>
              </w:rPr>
            </w:pPr>
            <w:r>
              <w:rPr>
                <w:rFonts w:ascii="Arial" w:cs="Arial" w:eastAsia="Arial" w:hAnsi="Arial"/>
                <w:sz w:val="13"/>
                <w:szCs w:val="13"/>
                <w:color w:val="auto"/>
              </w:rPr>
              <w:t>-</w:t>
            </w:r>
          </w:p>
        </w:tc>
        <w:tc>
          <w:tcPr>
            <w:tcW w:w="1060" w:type="dxa"/>
            <w:vAlign w:val="bottom"/>
            <w:shd w:val="clear" w:color="auto" w:fill="E7E6E6"/>
          </w:tcPr>
          <w:p>
            <w:pPr>
              <w:jc w:val="right"/>
              <w:ind w:right="114"/>
              <w:spacing w:after="0" w:line="142" w:lineRule="exact"/>
              <w:rPr>
                <w:sz w:val="20"/>
                <w:szCs w:val="20"/>
                <w:color w:val="auto"/>
              </w:rPr>
            </w:pPr>
            <w:r>
              <w:rPr>
                <w:rFonts w:ascii="Arial" w:cs="Arial" w:eastAsia="Arial" w:hAnsi="Arial"/>
                <w:sz w:val="13"/>
                <w:szCs w:val="13"/>
                <w:color w:val="auto"/>
              </w:rPr>
              <w:t>15,750</w:t>
            </w:r>
          </w:p>
        </w:tc>
        <w:tc>
          <w:tcPr>
            <w:tcW w:w="1060" w:type="dxa"/>
            <w:vAlign w:val="bottom"/>
            <w:shd w:val="clear" w:color="auto" w:fill="E7E6E6"/>
          </w:tcPr>
          <w:p>
            <w:pPr>
              <w:jc w:val="right"/>
              <w:ind w:right="174"/>
              <w:spacing w:after="0" w:line="142" w:lineRule="exact"/>
              <w:rPr>
                <w:sz w:val="20"/>
                <w:szCs w:val="20"/>
                <w:color w:val="auto"/>
              </w:rPr>
            </w:pPr>
            <w:r>
              <w:rPr>
                <w:rFonts w:ascii="Arial" w:cs="Arial" w:eastAsia="Arial" w:hAnsi="Arial"/>
                <w:sz w:val="13"/>
                <w:szCs w:val="13"/>
                <w:color w:val="auto"/>
              </w:rPr>
              <w:t>5,058</w:t>
            </w:r>
          </w:p>
        </w:tc>
        <w:tc>
          <w:tcPr>
            <w:tcW w:w="1140" w:type="dxa"/>
            <w:vAlign w:val="bottom"/>
            <w:shd w:val="clear" w:color="auto" w:fill="E7E6E6"/>
          </w:tcPr>
          <w:p>
            <w:pPr>
              <w:jc w:val="right"/>
              <w:ind w:right="214"/>
              <w:spacing w:after="0" w:line="142" w:lineRule="exact"/>
              <w:rPr>
                <w:sz w:val="20"/>
                <w:szCs w:val="20"/>
                <w:color w:val="auto"/>
              </w:rPr>
            </w:pPr>
            <w:r>
              <w:rPr>
                <w:rFonts w:ascii="Arial" w:cs="Arial" w:eastAsia="Arial" w:hAnsi="Arial"/>
                <w:sz w:val="13"/>
                <w:szCs w:val="13"/>
                <w:color w:val="auto"/>
              </w:rPr>
              <w:t>-</w:t>
            </w:r>
          </w:p>
        </w:tc>
        <w:tc>
          <w:tcPr>
            <w:tcW w:w="940" w:type="dxa"/>
            <w:vAlign w:val="bottom"/>
            <w:shd w:val="clear" w:color="auto" w:fill="E7E6E6"/>
          </w:tcPr>
          <w:p>
            <w:pPr>
              <w:jc w:val="right"/>
              <w:ind w:right="114"/>
              <w:spacing w:after="0" w:line="142" w:lineRule="exact"/>
              <w:rPr>
                <w:sz w:val="20"/>
                <w:szCs w:val="20"/>
                <w:color w:val="auto"/>
              </w:rPr>
            </w:pPr>
            <w:r>
              <w:rPr>
                <w:rFonts w:ascii="Arial" w:cs="Arial" w:eastAsia="Arial" w:hAnsi="Arial"/>
                <w:sz w:val="13"/>
                <w:szCs w:val="13"/>
                <w:color w:val="auto"/>
              </w:rPr>
              <w:t>20,808</w:t>
            </w:r>
          </w:p>
        </w:tc>
      </w:tr>
      <w:tr>
        <w:trPr>
          <w:trHeight w:val="149"/>
        </w:trPr>
        <w:tc>
          <w:tcPr>
            <w:tcW w:w="1920" w:type="dxa"/>
            <w:vAlign w:val="bottom"/>
            <w:shd w:val="clear" w:color="auto" w:fill="E7E6E6"/>
          </w:tcPr>
          <w:p>
            <w:pPr>
              <w:spacing w:after="0"/>
              <w:rPr>
                <w:sz w:val="12"/>
                <w:szCs w:val="12"/>
                <w:color w:val="auto"/>
              </w:rPr>
            </w:pPr>
          </w:p>
        </w:tc>
        <w:tc>
          <w:tcPr>
            <w:tcW w:w="1040" w:type="dxa"/>
            <w:vAlign w:val="bottom"/>
            <w:shd w:val="clear" w:color="auto" w:fill="E7E6E6"/>
          </w:tcPr>
          <w:p>
            <w:pPr>
              <w:ind w:left="540"/>
              <w:spacing w:after="0"/>
              <w:rPr>
                <w:sz w:val="20"/>
                <w:szCs w:val="20"/>
                <w:color w:val="auto"/>
              </w:rPr>
            </w:pPr>
            <w:r>
              <w:rPr>
                <w:rFonts w:ascii="Arial" w:cs="Arial" w:eastAsia="Arial" w:hAnsi="Arial"/>
                <w:sz w:val="13"/>
                <w:szCs w:val="13"/>
                <w:color w:val="auto"/>
              </w:rPr>
              <w:t>2024</w:t>
            </w:r>
          </w:p>
        </w:tc>
        <w:tc>
          <w:tcPr>
            <w:tcW w:w="1000" w:type="dxa"/>
            <w:vAlign w:val="bottom"/>
            <w:shd w:val="clear" w:color="auto" w:fill="E7E6E6"/>
          </w:tcPr>
          <w:p>
            <w:pPr>
              <w:jc w:val="right"/>
              <w:ind w:right="234"/>
              <w:spacing w:after="0"/>
              <w:rPr>
                <w:sz w:val="20"/>
                <w:szCs w:val="20"/>
                <w:color w:val="auto"/>
              </w:rPr>
            </w:pPr>
            <w:r>
              <w:rPr>
                <w:rFonts w:ascii="Arial" w:cs="Arial" w:eastAsia="Arial" w:hAnsi="Arial"/>
                <w:sz w:val="13"/>
                <w:szCs w:val="13"/>
                <w:color w:val="auto"/>
              </w:rPr>
              <w:t>27,500</w:t>
            </w:r>
          </w:p>
        </w:tc>
        <w:tc>
          <w:tcPr>
            <w:tcW w:w="1000" w:type="dxa"/>
            <w:vAlign w:val="bottom"/>
            <w:shd w:val="clear" w:color="auto" w:fill="E7E6E6"/>
          </w:tcPr>
          <w:p>
            <w:pPr>
              <w:jc w:val="right"/>
              <w:ind w:right="114"/>
              <w:spacing w:after="0"/>
              <w:rPr>
                <w:sz w:val="20"/>
                <w:szCs w:val="20"/>
                <w:color w:val="auto"/>
              </w:rPr>
            </w:pPr>
            <w:r>
              <w:rPr>
                <w:rFonts w:ascii="Arial" w:cs="Arial" w:eastAsia="Arial" w:hAnsi="Arial"/>
                <w:sz w:val="13"/>
                <w:szCs w:val="13"/>
                <w:color w:val="auto"/>
              </w:rPr>
              <w:t>-</w:t>
            </w:r>
          </w:p>
        </w:tc>
        <w:tc>
          <w:tcPr>
            <w:tcW w:w="960" w:type="dxa"/>
            <w:vAlign w:val="bottom"/>
            <w:shd w:val="clear" w:color="auto" w:fill="E7E6E6"/>
          </w:tcPr>
          <w:p>
            <w:pPr>
              <w:jc w:val="right"/>
              <w:ind w:right="74"/>
              <w:spacing w:after="0"/>
              <w:rPr>
                <w:sz w:val="20"/>
                <w:szCs w:val="20"/>
                <w:color w:val="auto"/>
              </w:rPr>
            </w:pPr>
            <w:r>
              <w:rPr>
                <w:rFonts w:ascii="Arial" w:cs="Arial" w:eastAsia="Arial" w:hAnsi="Arial"/>
                <w:sz w:val="13"/>
                <w:szCs w:val="13"/>
                <w:color w:val="auto"/>
              </w:rPr>
              <w:t>-</w:t>
            </w:r>
          </w:p>
        </w:tc>
        <w:tc>
          <w:tcPr>
            <w:tcW w:w="1060" w:type="dxa"/>
            <w:vAlign w:val="bottom"/>
            <w:shd w:val="clear" w:color="auto" w:fill="E7E6E6"/>
          </w:tcPr>
          <w:p>
            <w:pPr>
              <w:jc w:val="right"/>
              <w:ind w:right="114"/>
              <w:spacing w:after="0"/>
              <w:rPr>
                <w:sz w:val="20"/>
                <w:szCs w:val="20"/>
                <w:color w:val="auto"/>
              </w:rPr>
            </w:pPr>
            <w:r>
              <w:rPr>
                <w:rFonts w:ascii="Arial" w:cs="Arial" w:eastAsia="Arial" w:hAnsi="Arial"/>
                <w:sz w:val="13"/>
                <w:szCs w:val="13"/>
                <w:color w:val="auto"/>
              </w:rPr>
              <w:t>15,058</w:t>
            </w:r>
          </w:p>
        </w:tc>
        <w:tc>
          <w:tcPr>
            <w:tcW w:w="1060" w:type="dxa"/>
            <w:vAlign w:val="bottom"/>
            <w:shd w:val="clear" w:color="auto" w:fill="E7E6E6"/>
          </w:tcPr>
          <w:p>
            <w:pPr>
              <w:jc w:val="right"/>
              <w:ind w:right="174"/>
              <w:spacing w:after="0"/>
              <w:rPr>
                <w:sz w:val="20"/>
                <w:szCs w:val="20"/>
                <w:color w:val="auto"/>
              </w:rPr>
            </w:pPr>
            <w:r>
              <w:rPr>
                <w:rFonts w:ascii="Arial" w:cs="Arial" w:eastAsia="Arial" w:hAnsi="Arial"/>
                <w:sz w:val="13"/>
                <w:szCs w:val="13"/>
                <w:color w:val="auto"/>
              </w:rPr>
              <w:t>-</w:t>
            </w:r>
          </w:p>
        </w:tc>
        <w:tc>
          <w:tcPr>
            <w:tcW w:w="1140" w:type="dxa"/>
            <w:vAlign w:val="bottom"/>
            <w:shd w:val="clear" w:color="auto" w:fill="E7E6E6"/>
          </w:tcPr>
          <w:p>
            <w:pPr>
              <w:jc w:val="right"/>
              <w:ind w:right="214"/>
              <w:spacing w:after="0"/>
              <w:rPr>
                <w:sz w:val="20"/>
                <w:szCs w:val="20"/>
                <w:color w:val="auto"/>
              </w:rPr>
            </w:pPr>
            <w:r>
              <w:rPr>
                <w:rFonts w:ascii="Arial" w:cs="Arial" w:eastAsia="Arial" w:hAnsi="Arial"/>
                <w:sz w:val="13"/>
                <w:szCs w:val="13"/>
                <w:color w:val="auto"/>
              </w:rPr>
              <w:t>989</w:t>
            </w:r>
          </w:p>
        </w:tc>
        <w:tc>
          <w:tcPr>
            <w:tcW w:w="940" w:type="dxa"/>
            <w:vAlign w:val="bottom"/>
            <w:shd w:val="clear" w:color="auto" w:fill="E7E6E6"/>
          </w:tcPr>
          <w:p>
            <w:pPr>
              <w:jc w:val="right"/>
              <w:ind w:right="114"/>
              <w:spacing w:after="0"/>
              <w:rPr>
                <w:sz w:val="20"/>
                <w:szCs w:val="20"/>
                <w:color w:val="auto"/>
              </w:rPr>
            </w:pPr>
            <w:r>
              <w:rPr>
                <w:rFonts w:ascii="Arial" w:cs="Arial" w:eastAsia="Arial" w:hAnsi="Arial"/>
                <w:sz w:val="13"/>
                <w:szCs w:val="13"/>
                <w:color w:val="auto"/>
              </w:rPr>
              <w:t>43,547</w:t>
            </w:r>
          </w:p>
        </w:tc>
      </w:tr>
      <w:tr>
        <w:trPr>
          <w:trHeight w:val="137"/>
        </w:trPr>
        <w:tc>
          <w:tcPr>
            <w:tcW w:w="1920" w:type="dxa"/>
            <w:vAlign w:val="bottom"/>
            <w:tcBorders>
              <w:bottom w:val="single" w:sz="8" w:color="auto"/>
            </w:tcBorders>
            <w:shd w:val="clear" w:color="auto" w:fill="E7E6E6"/>
          </w:tcPr>
          <w:p>
            <w:pPr>
              <w:spacing w:after="0"/>
              <w:rPr>
                <w:sz w:val="11"/>
                <w:szCs w:val="11"/>
                <w:color w:val="auto"/>
              </w:rPr>
            </w:pPr>
          </w:p>
        </w:tc>
        <w:tc>
          <w:tcPr>
            <w:tcW w:w="1040" w:type="dxa"/>
            <w:vAlign w:val="bottom"/>
            <w:tcBorders>
              <w:bottom w:val="single" w:sz="8" w:color="auto"/>
            </w:tcBorders>
            <w:shd w:val="clear" w:color="auto" w:fill="E7E6E6"/>
          </w:tcPr>
          <w:p>
            <w:pPr>
              <w:spacing w:after="0"/>
              <w:rPr>
                <w:sz w:val="11"/>
                <w:szCs w:val="11"/>
                <w:color w:val="auto"/>
              </w:rPr>
            </w:pPr>
          </w:p>
        </w:tc>
        <w:tc>
          <w:tcPr>
            <w:tcW w:w="1000" w:type="dxa"/>
            <w:vAlign w:val="bottom"/>
            <w:tcBorders>
              <w:bottom w:val="single" w:sz="8" w:color="auto"/>
            </w:tcBorders>
            <w:shd w:val="clear" w:color="auto" w:fill="E7E6E6"/>
          </w:tcPr>
          <w:p>
            <w:pPr>
              <w:spacing w:after="0"/>
              <w:rPr>
                <w:sz w:val="11"/>
                <w:szCs w:val="11"/>
                <w:color w:val="auto"/>
              </w:rPr>
            </w:pPr>
          </w:p>
        </w:tc>
        <w:tc>
          <w:tcPr>
            <w:tcW w:w="1000" w:type="dxa"/>
            <w:vAlign w:val="bottom"/>
            <w:tcBorders>
              <w:bottom w:val="single" w:sz="8" w:color="auto"/>
            </w:tcBorders>
            <w:shd w:val="clear" w:color="auto" w:fill="E7E6E6"/>
          </w:tcPr>
          <w:p>
            <w:pPr>
              <w:spacing w:after="0"/>
              <w:rPr>
                <w:sz w:val="11"/>
                <w:szCs w:val="11"/>
                <w:color w:val="auto"/>
              </w:rPr>
            </w:pPr>
          </w:p>
        </w:tc>
        <w:tc>
          <w:tcPr>
            <w:tcW w:w="960" w:type="dxa"/>
            <w:vAlign w:val="bottom"/>
            <w:tcBorders>
              <w:bottom w:val="single" w:sz="8" w:color="auto"/>
            </w:tcBorders>
            <w:shd w:val="clear" w:color="auto" w:fill="E7E6E6"/>
          </w:tcPr>
          <w:p>
            <w:pPr>
              <w:spacing w:after="0"/>
              <w:rPr>
                <w:sz w:val="11"/>
                <w:szCs w:val="11"/>
                <w:color w:val="auto"/>
              </w:rPr>
            </w:pPr>
          </w:p>
        </w:tc>
        <w:tc>
          <w:tcPr>
            <w:tcW w:w="1060" w:type="dxa"/>
            <w:vAlign w:val="bottom"/>
            <w:tcBorders>
              <w:bottom w:val="single" w:sz="8" w:color="auto"/>
            </w:tcBorders>
            <w:shd w:val="clear" w:color="auto" w:fill="E7E6E6"/>
          </w:tcPr>
          <w:p>
            <w:pPr>
              <w:spacing w:after="0"/>
              <w:rPr>
                <w:sz w:val="11"/>
                <w:szCs w:val="11"/>
                <w:color w:val="auto"/>
              </w:rPr>
            </w:pPr>
          </w:p>
        </w:tc>
        <w:tc>
          <w:tcPr>
            <w:tcW w:w="1060" w:type="dxa"/>
            <w:vAlign w:val="bottom"/>
            <w:tcBorders>
              <w:bottom w:val="single" w:sz="8" w:color="auto"/>
            </w:tcBorders>
            <w:shd w:val="clear" w:color="auto" w:fill="E7E6E6"/>
          </w:tcPr>
          <w:p>
            <w:pPr>
              <w:spacing w:after="0"/>
              <w:rPr>
                <w:sz w:val="11"/>
                <w:szCs w:val="11"/>
                <w:color w:val="auto"/>
              </w:rPr>
            </w:pPr>
          </w:p>
        </w:tc>
        <w:tc>
          <w:tcPr>
            <w:tcW w:w="1140" w:type="dxa"/>
            <w:vAlign w:val="bottom"/>
            <w:tcBorders>
              <w:bottom w:val="single" w:sz="8" w:color="auto"/>
            </w:tcBorders>
            <w:shd w:val="clear" w:color="auto" w:fill="E7E6E6"/>
          </w:tcPr>
          <w:p>
            <w:pPr>
              <w:spacing w:after="0"/>
              <w:rPr>
                <w:sz w:val="11"/>
                <w:szCs w:val="11"/>
                <w:color w:val="auto"/>
              </w:rPr>
            </w:pPr>
          </w:p>
        </w:tc>
        <w:tc>
          <w:tcPr>
            <w:tcW w:w="940" w:type="dxa"/>
            <w:vAlign w:val="bottom"/>
            <w:tcBorders>
              <w:bottom w:val="single" w:sz="8" w:color="auto"/>
            </w:tcBorders>
            <w:shd w:val="clear" w:color="auto" w:fill="E7E6E6"/>
          </w:tcPr>
          <w:p>
            <w:pPr>
              <w:spacing w:after="0"/>
              <w:rPr>
                <w:sz w:val="11"/>
                <w:szCs w:val="11"/>
                <w:color w:val="auto"/>
              </w:rPr>
            </w:pPr>
          </w:p>
        </w:tc>
      </w:tr>
      <w:tr>
        <w:trPr>
          <w:trHeight w:val="134"/>
        </w:trPr>
        <w:tc>
          <w:tcPr>
            <w:tcW w:w="1920" w:type="dxa"/>
            <w:vAlign w:val="bottom"/>
          </w:tcPr>
          <w:p>
            <w:pPr>
              <w:spacing w:after="0" w:line="134" w:lineRule="exact"/>
              <w:rPr>
                <w:sz w:val="20"/>
                <w:szCs w:val="20"/>
                <w:color w:val="auto"/>
              </w:rPr>
            </w:pPr>
            <w:r>
              <w:rPr>
                <w:rFonts w:ascii="Arial" w:cs="Arial" w:eastAsia="Arial" w:hAnsi="Arial"/>
                <w:sz w:val="13"/>
                <w:szCs w:val="13"/>
                <w:color w:val="auto"/>
              </w:rPr>
              <w:t>Robert L. Seelig</w:t>
            </w:r>
          </w:p>
        </w:tc>
        <w:tc>
          <w:tcPr>
            <w:tcW w:w="1040" w:type="dxa"/>
            <w:vAlign w:val="bottom"/>
          </w:tcPr>
          <w:p>
            <w:pPr>
              <w:ind w:left="540"/>
              <w:spacing w:after="0" w:line="134" w:lineRule="exact"/>
              <w:rPr>
                <w:sz w:val="20"/>
                <w:szCs w:val="20"/>
                <w:color w:val="auto"/>
              </w:rPr>
            </w:pPr>
            <w:r>
              <w:rPr>
                <w:rFonts w:ascii="Arial" w:cs="Arial" w:eastAsia="Arial" w:hAnsi="Arial"/>
                <w:sz w:val="13"/>
                <w:szCs w:val="13"/>
                <w:color w:val="auto"/>
              </w:rPr>
              <w:t>2025</w:t>
            </w:r>
          </w:p>
        </w:tc>
        <w:tc>
          <w:tcPr>
            <w:tcW w:w="1000" w:type="dxa"/>
            <w:vAlign w:val="bottom"/>
          </w:tcPr>
          <w:p>
            <w:pPr>
              <w:jc w:val="right"/>
              <w:ind w:right="234"/>
              <w:spacing w:after="0" w:line="134"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114"/>
              <w:spacing w:after="0" w:line="134" w:lineRule="exact"/>
              <w:rPr>
                <w:sz w:val="20"/>
                <w:szCs w:val="20"/>
                <w:color w:val="auto"/>
              </w:rPr>
            </w:pPr>
            <w:r>
              <w:rPr>
                <w:rFonts w:ascii="Arial" w:cs="Arial" w:eastAsia="Arial" w:hAnsi="Arial"/>
                <w:sz w:val="13"/>
                <w:szCs w:val="13"/>
                <w:color w:val="auto"/>
              </w:rPr>
              <w:t>94,462</w:t>
            </w:r>
          </w:p>
        </w:tc>
        <w:tc>
          <w:tcPr>
            <w:tcW w:w="960" w:type="dxa"/>
            <w:vAlign w:val="bottom"/>
          </w:tcPr>
          <w:p>
            <w:pPr>
              <w:jc w:val="right"/>
              <w:ind w:right="74"/>
              <w:spacing w:after="0" w:line="134" w:lineRule="exact"/>
              <w:rPr>
                <w:sz w:val="20"/>
                <w:szCs w:val="20"/>
                <w:color w:val="auto"/>
              </w:rPr>
            </w:pPr>
            <w:r>
              <w:rPr>
                <w:rFonts w:ascii="Arial" w:cs="Arial" w:eastAsia="Arial" w:hAnsi="Arial"/>
                <w:sz w:val="13"/>
                <w:szCs w:val="13"/>
                <w:color w:val="auto"/>
              </w:rPr>
              <w:t>3,750</w:t>
            </w:r>
          </w:p>
        </w:tc>
        <w:tc>
          <w:tcPr>
            <w:tcW w:w="1060" w:type="dxa"/>
            <w:vAlign w:val="bottom"/>
          </w:tcPr>
          <w:p>
            <w:pPr>
              <w:jc w:val="right"/>
              <w:ind w:right="114"/>
              <w:spacing w:after="0" w:line="134" w:lineRule="exact"/>
              <w:rPr>
                <w:sz w:val="20"/>
                <w:szCs w:val="20"/>
                <w:color w:val="auto"/>
              </w:rPr>
            </w:pPr>
            <w:r>
              <w:rPr>
                <w:rFonts w:ascii="Arial" w:cs="Arial" w:eastAsia="Arial" w:hAnsi="Arial"/>
                <w:sz w:val="13"/>
                <w:szCs w:val="13"/>
                <w:color w:val="auto"/>
              </w:rPr>
              <w:t>15,750</w:t>
            </w:r>
          </w:p>
        </w:tc>
        <w:tc>
          <w:tcPr>
            <w:tcW w:w="1060" w:type="dxa"/>
            <w:vAlign w:val="bottom"/>
          </w:tcPr>
          <w:p>
            <w:pPr>
              <w:jc w:val="right"/>
              <w:ind w:right="174"/>
              <w:spacing w:after="0" w:line="134" w:lineRule="exact"/>
              <w:rPr>
                <w:sz w:val="20"/>
                <w:szCs w:val="20"/>
                <w:color w:val="auto"/>
              </w:rPr>
            </w:pPr>
            <w:r>
              <w:rPr>
                <w:rFonts w:ascii="Arial" w:cs="Arial" w:eastAsia="Arial" w:hAnsi="Arial"/>
                <w:sz w:val="13"/>
                <w:szCs w:val="13"/>
                <w:color w:val="auto"/>
              </w:rPr>
              <w:t>5,058</w:t>
            </w:r>
          </w:p>
        </w:tc>
        <w:tc>
          <w:tcPr>
            <w:tcW w:w="1140" w:type="dxa"/>
            <w:vAlign w:val="bottom"/>
          </w:tcPr>
          <w:p>
            <w:pPr>
              <w:jc w:val="right"/>
              <w:ind w:right="214"/>
              <w:spacing w:after="0" w:line="134"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114"/>
              <w:spacing w:after="0" w:line="134" w:lineRule="exact"/>
              <w:rPr>
                <w:sz w:val="20"/>
                <w:szCs w:val="20"/>
                <w:color w:val="auto"/>
              </w:rPr>
            </w:pPr>
            <w:r>
              <w:rPr>
                <w:rFonts w:ascii="Arial" w:cs="Arial" w:eastAsia="Arial" w:hAnsi="Arial"/>
                <w:sz w:val="13"/>
                <w:szCs w:val="13"/>
                <w:color w:val="auto"/>
              </w:rPr>
              <w:t>119,020</w:t>
            </w:r>
          </w:p>
        </w:tc>
      </w:tr>
      <w:tr>
        <w:trPr>
          <w:trHeight w:val="149"/>
        </w:trPr>
        <w:tc>
          <w:tcPr>
            <w:tcW w:w="1920" w:type="dxa"/>
            <w:vAlign w:val="bottom"/>
          </w:tcPr>
          <w:p>
            <w:pPr>
              <w:spacing w:after="0"/>
              <w:rPr>
                <w:sz w:val="12"/>
                <w:szCs w:val="12"/>
                <w:color w:val="auto"/>
              </w:rPr>
            </w:pPr>
          </w:p>
        </w:tc>
        <w:tc>
          <w:tcPr>
            <w:tcW w:w="1040" w:type="dxa"/>
            <w:vAlign w:val="bottom"/>
          </w:tcPr>
          <w:p>
            <w:pPr>
              <w:ind w:left="540"/>
              <w:spacing w:after="0"/>
              <w:rPr>
                <w:sz w:val="20"/>
                <w:szCs w:val="20"/>
                <w:color w:val="auto"/>
              </w:rPr>
            </w:pPr>
            <w:r>
              <w:rPr>
                <w:rFonts w:ascii="Arial" w:cs="Arial" w:eastAsia="Arial" w:hAnsi="Arial"/>
                <w:sz w:val="13"/>
                <w:szCs w:val="13"/>
                <w:color w:val="auto"/>
              </w:rPr>
              <w:t>2024</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4"/>
              <w:spacing w:after="0"/>
              <w:rPr>
                <w:sz w:val="20"/>
                <w:szCs w:val="20"/>
                <w:color w:val="auto"/>
              </w:rPr>
            </w:pPr>
            <w:r>
              <w:rPr>
                <w:rFonts w:ascii="Arial" w:cs="Arial" w:eastAsia="Arial" w:hAnsi="Arial"/>
                <w:sz w:val="13"/>
                <w:szCs w:val="13"/>
                <w:color w:val="auto"/>
              </w:rPr>
              <w:t>129,372</w:t>
            </w:r>
          </w:p>
        </w:tc>
        <w:tc>
          <w:tcPr>
            <w:tcW w:w="960" w:type="dxa"/>
            <w:vAlign w:val="bottom"/>
          </w:tcPr>
          <w:p>
            <w:pPr>
              <w:jc w:val="right"/>
              <w:ind w:right="74"/>
              <w:spacing w:after="0"/>
              <w:rPr>
                <w:sz w:val="20"/>
                <w:szCs w:val="20"/>
                <w:color w:val="auto"/>
              </w:rPr>
            </w:pPr>
            <w:r>
              <w:rPr>
                <w:rFonts w:ascii="Arial" w:cs="Arial" w:eastAsia="Arial" w:hAnsi="Arial"/>
                <w:sz w:val="13"/>
                <w:szCs w:val="13"/>
                <w:color w:val="auto"/>
              </w:rPr>
              <w:t>3,000</w:t>
            </w:r>
          </w:p>
        </w:tc>
        <w:tc>
          <w:tcPr>
            <w:tcW w:w="1060" w:type="dxa"/>
            <w:vAlign w:val="bottom"/>
          </w:tcPr>
          <w:p>
            <w:pPr>
              <w:jc w:val="right"/>
              <w:ind w:right="114"/>
              <w:spacing w:after="0"/>
              <w:rPr>
                <w:sz w:val="20"/>
                <w:szCs w:val="20"/>
                <w:color w:val="auto"/>
              </w:rPr>
            </w:pPr>
            <w:r>
              <w:rPr>
                <w:rFonts w:ascii="Arial" w:cs="Arial" w:eastAsia="Arial" w:hAnsi="Arial"/>
                <w:sz w:val="13"/>
                <w:szCs w:val="13"/>
                <w:color w:val="auto"/>
              </w:rPr>
              <w:t>15,525</w:t>
            </w:r>
          </w:p>
        </w:tc>
        <w:tc>
          <w:tcPr>
            <w:tcW w:w="1060" w:type="dxa"/>
            <w:vAlign w:val="bottom"/>
          </w:tcPr>
          <w:p>
            <w:pPr>
              <w:jc w:val="right"/>
              <w:ind w:right="174"/>
              <w:spacing w:after="0"/>
              <w:rPr>
                <w:sz w:val="20"/>
                <w:szCs w:val="20"/>
                <w:color w:val="auto"/>
              </w:rPr>
            </w:pPr>
            <w:r>
              <w:rPr>
                <w:rFonts w:ascii="Arial" w:cs="Arial" w:eastAsia="Arial" w:hAnsi="Arial"/>
                <w:sz w:val="13"/>
                <w:szCs w:val="13"/>
                <w:color w:val="auto"/>
              </w:rPr>
              <w:t>4,806</w:t>
            </w:r>
          </w:p>
        </w:tc>
        <w:tc>
          <w:tcPr>
            <w:tcW w:w="114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14"/>
              <w:spacing w:after="0"/>
              <w:rPr>
                <w:sz w:val="20"/>
                <w:szCs w:val="20"/>
                <w:color w:val="auto"/>
              </w:rPr>
            </w:pPr>
            <w:r>
              <w:rPr>
                <w:rFonts w:ascii="Arial" w:cs="Arial" w:eastAsia="Arial" w:hAnsi="Arial"/>
                <w:sz w:val="13"/>
                <w:szCs w:val="13"/>
                <w:color w:val="auto"/>
              </w:rPr>
              <w:t>152,703</w:t>
            </w:r>
          </w:p>
        </w:tc>
      </w:tr>
      <w:tr>
        <w:trPr>
          <w:trHeight w:val="157"/>
        </w:trPr>
        <w:tc>
          <w:tcPr>
            <w:tcW w:w="19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ind w:left="540"/>
              <w:spacing w:after="0"/>
              <w:rPr>
                <w:sz w:val="20"/>
                <w:szCs w:val="20"/>
                <w:color w:val="auto"/>
              </w:rPr>
            </w:pPr>
            <w:r>
              <w:rPr>
                <w:rFonts w:ascii="Arial" w:cs="Arial" w:eastAsia="Arial" w:hAnsi="Arial"/>
                <w:sz w:val="13"/>
                <w:szCs w:val="13"/>
                <w:color w:val="auto"/>
              </w:rPr>
              <w:t>2023</w:t>
            </w:r>
          </w:p>
        </w:tc>
        <w:tc>
          <w:tcPr>
            <w:tcW w:w="100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94,263</w:t>
            </w:r>
          </w:p>
        </w:tc>
        <w:tc>
          <w:tcPr>
            <w:tcW w:w="96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2,700</w:t>
            </w:r>
          </w:p>
        </w:tc>
        <w:tc>
          <w:tcPr>
            <w:tcW w:w="106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14,850</w:t>
            </w:r>
          </w:p>
        </w:tc>
        <w:tc>
          <w:tcPr>
            <w:tcW w:w="106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color w:val="auto"/>
              </w:rPr>
              <w:t>4,410</w:t>
            </w:r>
          </w:p>
        </w:tc>
        <w:tc>
          <w:tcPr>
            <w:tcW w:w="114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116,223</w:t>
            </w:r>
          </w:p>
        </w:tc>
      </w:tr>
      <w:tr>
        <w:trPr>
          <w:trHeight w:val="142"/>
        </w:trPr>
        <w:tc>
          <w:tcPr>
            <w:tcW w:w="1920" w:type="dxa"/>
            <w:vAlign w:val="bottom"/>
            <w:shd w:val="clear" w:color="auto" w:fill="E7E6E6"/>
          </w:tcPr>
          <w:p>
            <w:pPr>
              <w:spacing w:after="0" w:line="142" w:lineRule="exact"/>
              <w:rPr>
                <w:sz w:val="20"/>
                <w:szCs w:val="20"/>
                <w:color w:val="auto"/>
              </w:rPr>
            </w:pPr>
            <w:r>
              <w:rPr>
                <w:rFonts w:ascii="Arial" w:cs="Arial" w:eastAsia="Arial" w:hAnsi="Arial"/>
                <w:sz w:val="13"/>
                <w:szCs w:val="13"/>
                <w:color w:val="auto"/>
              </w:rPr>
              <w:t>Michaela J. Hildreth</w:t>
            </w:r>
          </w:p>
        </w:tc>
        <w:tc>
          <w:tcPr>
            <w:tcW w:w="1040" w:type="dxa"/>
            <w:vAlign w:val="bottom"/>
            <w:shd w:val="clear" w:color="auto" w:fill="E7E6E6"/>
          </w:tcPr>
          <w:p>
            <w:pPr>
              <w:ind w:left="540"/>
              <w:spacing w:after="0" w:line="142" w:lineRule="exact"/>
              <w:rPr>
                <w:sz w:val="20"/>
                <w:szCs w:val="20"/>
                <w:color w:val="auto"/>
              </w:rPr>
            </w:pPr>
            <w:r>
              <w:rPr>
                <w:rFonts w:ascii="Arial" w:cs="Arial" w:eastAsia="Arial" w:hAnsi="Arial"/>
                <w:sz w:val="13"/>
                <w:szCs w:val="13"/>
                <w:color w:val="auto"/>
              </w:rPr>
              <w:t>2025</w:t>
            </w:r>
          </w:p>
        </w:tc>
        <w:tc>
          <w:tcPr>
            <w:tcW w:w="1000" w:type="dxa"/>
            <w:vAlign w:val="bottom"/>
            <w:shd w:val="clear" w:color="auto" w:fill="E7E6E6"/>
          </w:tcPr>
          <w:p>
            <w:pPr>
              <w:jc w:val="right"/>
              <w:ind w:right="234"/>
              <w:spacing w:after="0" w:line="142" w:lineRule="exact"/>
              <w:rPr>
                <w:sz w:val="20"/>
                <w:szCs w:val="20"/>
                <w:color w:val="auto"/>
              </w:rPr>
            </w:pPr>
            <w:r>
              <w:rPr>
                <w:rFonts w:ascii="Arial" w:cs="Arial" w:eastAsia="Arial" w:hAnsi="Arial"/>
                <w:sz w:val="13"/>
                <w:szCs w:val="13"/>
                <w:color w:val="auto"/>
              </w:rPr>
              <w:t>-</w:t>
            </w:r>
          </w:p>
        </w:tc>
        <w:tc>
          <w:tcPr>
            <w:tcW w:w="1000" w:type="dxa"/>
            <w:vAlign w:val="bottom"/>
            <w:shd w:val="clear" w:color="auto" w:fill="E7E6E6"/>
          </w:tcPr>
          <w:p>
            <w:pPr>
              <w:jc w:val="right"/>
              <w:ind w:right="114"/>
              <w:spacing w:after="0" w:line="142" w:lineRule="exact"/>
              <w:rPr>
                <w:sz w:val="20"/>
                <w:szCs w:val="20"/>
                <w:color w:val="auto"/>
              </w:rPr>
            </w:pPr>
            <w:r>
              <w:rPr>
                <w:rFonts w:ascii="Arial" w:cs="Arial" w:eastAsia="Arial" w:hAnsi="Arial"/>
                <w:sz w:val="13"/>
                <w:szCs w:val="13"/>
                <w:color w:val="auto"/>
              </w:rPr>
              <w:t>-</w:t>
            </w:r>
          </w:p>
        </w:tc>
        <w:tc>
          <w:tcPr>
            <w:tcW w:w="960" w:type="dxa"/>
            <w:vAlign w:val="bottom"/>
            <w:shd w:val="clear" w:color="auto" w:fill="E7E6E6"/>
          </w:tcPr>
          <w:p>
            <w:pPr>
              <w:jc w:val="right"/>
              <w:ind w:right="74"/>
              <w:spacing w:after="0" w:line="142" w:lineRule="exact"/>
              <w:rPr>
                <w:sz w:val="20"/>
                <w:szCs w:val="20"/>
                <w:color w:val="auto"/>
              </w:rPr>
            </w:pPr>
            <w:r>
              <w:rPr>
                <w:rFonts w:ascii="Arial" w:cs="Arial" w:eastAsia="Arial" w:hAnsi="Arial"/>
                <w:sz w:val="13"/>
                <w:szCs w:val="13"/>
                <w:color w:val="auto"/>
              </w:rPr>
              <w:t>2,250</w:t>
            </w:r>
          </w:p>
        </w:tc>
        <w:tc>
          <w:tcPr>
            <w:tcW w:w="1060" w:type="dxa"/>
            <w:vAlign w:val="bottom"/>
            <w:shd w:val="clear" w:color="auto" w:fill="E7E6E6"/>
          </w:tcPr>
          <w:p>
            <w:pPr>
              <w:jc w:val="right"/>
              <w:ind w:right="114"/>
              <w:spacing w:after="0" w:line="142" w:lineRule="exact"/>
              <w:rPr>
                <w:sz w:val="20"/>
                <w:szCs w:val="20"/>
                <w:color w:val="auto"/>
              </w:rPr>
            </w:pPr>
            <w:r>
              <w:rPr>
                <w:rFonts w:ascii="Arial" w:cs="Arial" w:eastAsia="Arial" w:hAnsi="Arial"/>
                <w:sz w:val="13"/>
                <w:szCs w:val="13"/>
                <w:color w:val="auto"/>
              </w:rPr>
              <w:t>15,750</w:t>
            </w:r>
          </w:p>
        </w:tc>
        <w:tc>
          <w:tcPr>
            <w:tcW w:w="1060" w:type="dxa"/>
            <w:vAlign w:val="bottom"/>
            <w:shd w:val="clear" w:color="auto" w:fill="E7E6E6"/>
          </w:tcPr>
          <w:p>
            <w:pPr>
              <w:jc w:val="right"/>
              <w:ind w:right="174"/>
              <w:spacing w:after="0" w:line="142" w:lineRule="exact"/>
              <w:rPr>
                <w:sz w:val="20"/>
                <w:szCs w:val="20"/>
                <w:color w:val="auto"/>
              </w:rPr>
            </w:pPr>
            <w:r>
              <w:rPr>
                <w:rFonts w:ascii="Arial" w:cs="Arial" w:eastAsia="Arial" w:hAnsi="Arial"/>
                <w:sz w:val="13"/>
                <w:szCs w:val="13"/>
                <w:color w:val="auto"/>
              </w:rPr>
              <w:t>5,058</w:t>
            </w:r>
          </w:p>
        </w:tc>
        <w:tc>
          <w:tcPr>
            <w:tcW w:w="1140" w:type="dxa"/>
            <w:vAlign w:val="bottom"/>
            <w:shd w:val="clear" w:color="auto" w:fill="E7E6E6"/>
          </w:tcPr>
          <w:p>
            <w:pPr>
              <w:jc w:val="right"/>
              <w:ind w:right="214"/>
              <w:spacing w:after="0" w:line="142" w:lineRule="exact"/>
              <w:rPr>
                <w:sz w:val="20"/>
                <w:szCs w:val="20"/>
                <w:color w:val="auto"/>
              </w:rPr>
            </w:pPr>
            <w:r>
              <w:rPr>
                <w:rFonts w:ascii="Arial" w:cs="Arial" w:eastAsia="Arial" w:hAnsi="Arial"/>
                <w:sz w:val="13"/>
                <w:szCs w:val="13"/>
                <w:color w:val="auto"/>
              </w:rPr>
              <w:t>-</w:t>
            </w:r>
          </w:p>
        </w:tc>
        <w:tc>
          <w:tcPr>
            <w:tcW w:w="940" w:type="dxa"/>
            <w:vAlign w:val="bottom"/>
            <w:shd w:val="clear" w:color="auto" w:fill="E7E6E6"/>
          </w:tcPr>
          <w:p>
            <w:pPr>
              <w:jc w:val="right"/>
              <w:ind w:right="114"/>
              <w:spacing w:after="0" w:line="142" w:lineRule="exact"/>
              <w:rPr>
                <w:sz w:val="20"/>
                <w:szCs w:val="20"/>
                <w:color w:val="auto"/>
              </w:rPr>
            </w:pPr>
            <w:r>
              <w:rPr>
                <w:rFonts w:ascii="Arial" w:cs="Arial" w:eastAsia="Arial" w:hAnsi="Arial"/>
                <w:sz w:val="13"/>
                <w:szCs w:val="13"/>
                <w:color w:val="auto"/>
              </w:rPr>
              <w:t>23,058</w:t>
            </w:r>
          </w:p>
        </w:tc>
      </w:tr>
      <w:tr>
        <w:trPr>
          <w:trHeight w:val="149"/>
        </w:trPr>
        <w:tc>
          <w:tcPr>
            <w:tcW w:w="1920" w:type="dxa"/>
            <w:vAlign w:val="bottom"/>
            <w:shd w:val="clear" w:color="auto" w:fill="E7E6E6"/>
          </w:tcPr>
          <w:p>
            <w:pPr>
              <w:spacing w:after="0"/>
              <w:rPr>
                <w:sz w:val="12"/>
                <w:szCs w:val="12"/>
                <w:color w:val="auto"/>
              </w:rPr>
            </w:pPr>
          </w:p>
        </w:tc>
        <w:tc>
          <w:tcPr>
            <w:tcW w:w="1040" w:type="dxa"/>
            <w:vAlign w:val="bottom"/>
            <w:shd w:val="clear" w:color="auto" w:fill="E7E6E6"/>
          </w:tcPr>
          <w:p>
            <w:pPr>
              <w:ind w:left="540"/>
              <w:spacing w:after="0"/>
              <w:rPr>
                <w:sz w:val="20"/>
                <w:szCs w:val="20"/>
                <w:color w:val="auto"/>
              </w:rPr>
            </w:pPr>
            <w:r>
              <w:rPr>
                <w:rFonts w:ascii="Arial" w:cs="Arial" w:eastAsia="Arial" w:hAnsi="Arial"/>
                <w:sz w:val="13"/>
                <w:szCs w:val="13"/>
                <w:color w:val="auto"/>
              </w:rPr>
              <w:t>2024</w:t>
            </w:r>
          </w:p>
        </w:tc>
        <w:tc>
          <w:tcPr>
            <w:tcW w:w="1000" w:type="dxa"/>
            <w:vAlign w:val="bottom"/>
            <w:shd w:val="clear" w:color="auto" w:fill="E7E6E6"/>
          </w:tcPr>
          <w:p>
            <w:pPr>
              <w:jc w:val="right"/>
              <w:ind w:right="234"/>
              <w:spacing w:after="0"/>
              <w:rPr>
                <w:sz w:val="20"/>
                <w:szCs w:val="20"/>
                <w:color w:val="auto"/>
              </w:rPr>
            </w:pPr>
            <w:r>
              <w:rPr>
                <w:rFonts w:ascii="Arial" w:cs="Arial" w:eastAsia="Arial" w:hAnsi="Arial"/>
                <w:sz w:val="13"/>
                <w:szCs w:val="13"/>
                <w:color w:val="auto"/>
              </w:rPr>
              <w:t>-</w:t>
            </w:r>
          </w:p>
        </w:tc>
        <w:tc>
          <w:tcPr>
            <w:tcW w:w="1000" w:type="dxa"/>
            <w:vAlign w:val="bottom"/>
            <w:shd w:val="clear" w:color="auto" w:fill="E7E6E6"/>
          </w:tcPr>
          <w:p>
            <w:pPr>
              <w:jc w:val="right"/>
              <w:ind w:right="114"/>
              <w:spacing w:after="0"/>
              <w:rPr>
                <w:sz w:val="20"/>
                <w:szCs w:val="20"/>
                <w:color w:val="auto"/>
              </w:rPr>
            </w:pPr>
            <w:r>
              <w:rPr>
                <w:rFonts w:ascii="Arial" w:cs="Arial" w:eastAsia="Arial" w:hAnsi="Arial"/>
                <w:sz w:val="13"/>
                <w:szCs w:val="13"/>
                <w:color w:val="auto"/>
              </w:rPr>
              <w:t>-</w:t>
            </w:r>
          </w:p>
        </w:tc>
        <w:tc>
          <w:tcPr>
            <w:tcW w:w="960" w:type="dxa"/>
            <w:vAlign w:val="bottom"/>
            <w:shd w:val="clear" w:color="auto" w:fill="E7E6E6"/>
          </w:tcPr>
          <w:p>
            <w:pPr>
              <w:jc w:val="right"/>
              <w:ind w:right="74"/>
              <w:spacing w:after="0"/>
              <w:rPr>
                <w:sz w:val="20"/>
                <w:szCs w:val="20"/>
                <w:color w:val="auto"/>
              </w:rPr>
            </w:pPr>
            <w:r>
              <w:rPr>
                <w:rFonts w:ascii="Arial" w:cs="Arial" w:eastAsia="Arial" w:hAnsi="Arial"/>
                <w:sz w:val="13"/>
                <w:szCs w:val="13"/>
                <w:color w:val="auto"/>
              </w:rPr>
              <w:t>1,800</w:t>
            </w:r>
          </w:p>
        </w:tc>
        <w:tc>
          <w:tcPr>
            <w:tcW w:w="1060" w:type="dxa"/>
            <w:vAlign w:val="bottom"/>
            <w:shd w:val="clear" w:color="auto" w:fill="E7E6E6"/>
          </w:tcPr>
          <w:p>
            <w:pPr>
              <w:jc w:val="right"/>
              <w:ind w:right="114"/>
              <w:spacing w:after="0"/>
              <w:rPr>
                <w:sz w:val="20"/>
                <w:szCs w:val="20"/>
                <w:color w:val="auto"/>
              </w:rPr>
            </w:pPr>
            <w:r>
              <w:rPr>
                <w:rFonts w:ascii="Arial" w:cs="Arial" w:eastAsia="Arial" w:hAnsi="Arial"/>
                <w:sz w:val="13"/>
                <w:szCs w:val="13"/>
                <w:color w:val="auto"/>
              </w:rPr>
              <w:t>15,525</w:t>
            </w:r>
          </w:p>
        </w:tc>
        <w:tc>
          <w:tcPr>
            <w:tcW w:w="1060" w:type="dxa"/>
            <w:vAlign w:val="bottom"/>
            <w:shd w:val="clear" w:color="auto" w:fill="E7E6E6"/>
          </w:tcPr>
          <w:p>
            <w:pPr>
              <w:jc w:val="right"/>
              <w:ind w:right="174"/>
              <w:spacing w:after="0"/>
              <w:rPr>
                <w:sz w:val="20"/>
                <w:szCs w:val="20"/>
                <w:color w:val="auto"/>
              </w:rPr>
            </w:pPr>
            <w:r>
              <w:rPr>
                <w:rFonts w:ascii="Arial" w:cs="Arial" w:eastAsia="Arial" w:hAnsi="Arial"/>
                <w:sz w:val="13"/>
                <w:szCs w:val="13"/>
                <w:color w:val="auto"/>
              </w:rPr>
              <w:t>4,806</w:t>
            </w:r>
          </w:p>
        </w:tc>
        <w:tc>
          <w:tcPr>
            <w:tcW w:w="1140" w:type="dxa"/>
            <w:vAlign w:val="bottom"/>
            <w:shd w:val="clear" w:color="auto" w:fill="E7E6E6"/>
          </w:tcPr>
          <w:p>
            <w:pPr>
              <w:jc w:val="right"/>
              <w:ind w:right="214"/>
              <w:spacing w:after="0"/>
              <w:rPr>
                <w:sz w:val="20"/>
                <w:szCs w:val="20"/>
                <w:color w:val="auto"/>
              </w:rPr>
            </w:pPr>
            <w:r>
              <w:rPr>
                <w:rFonts w:ascii="Arial" w:cs="Arial" w:eastAsia="Arial" w:hAnsi="Arial"/>
                <w:sz w:val="13"/>
                <w:szCs w:val="13"/>
                <w:color w:val="auto"/>
              </w:rPr>
              <w:t>-</w:t>
            </w:r>
          </w:p>
        </w:tc>
        <w:tc>
          <w:tcPr>
            <w:tcW w:w="940" w:type="dxa"/>
            <w:vAlign w:val="bottom"/>
            <w:shd w:val="clear" w:color="auto" w:fill="E7E6E6"/>
          </w:tcPr>
          <w:p>
            <w:pPr>
              <w:jc w:val="right"/>
              <w:ind w:right="114"/>
              <w:spacing w:after="0"/>
              <w:rPr>
                <w:sz w:val="20"/>
                <w:szCs w:val="20"/>
                <w:color w:val="auto"/>
              </w:rPr>
            </w:pPr>
            <w:r>
              <w:rPr>
                <w:rFonts w:ascii="Arial" w:cs="Arial" w:eastAsia="Arial" w:hAnsi="Arial"/>
                <w:sz w:val="13"/>
                <w:szCs w:val="13"/>
                <w:color w:val="auto"/>
              </w:rPr>
              <w:t>22,131</w:t>
            </w:r>
          </w:p>
        </w:tc>
      </w:tr>
      <w:tr>
        <w:trPr>
          <w:trHeight w:val="149"/>
        </w:trPr>
        <w:tc>
          <w:tcPr>
            <w:tcW w:w="1920" w:type="dxa"/>
            <w:vAlign w:val="bottom"/>
            <w:tcBorders>
              <w:bottom w:val="single" w:sz="8" w:color="auto"/>
            </w:tcBorders>
            <w:shd w:val="clear" w:color="auto" w:fill="E7E6E6"/>
          </w:tcPr>
          <w:p>
            <w:pPr>
              <w:spacing w:after="0"/>
              <w:rPr>
                <w:sz w:val="12"/>
                <w:szCs w:val="12"/>
                <w:color w:val="auto"/>
              </w:rPr>
            </w:pPr>
          </w:p>
        </w:tc>
        <w:tc>
          <w:tcPr>
            <w:tcW w:w="1040" w:type="dxa"/>
            <w:vAlign w:val="bottom"/>
            <w:tcBorders>
              <w:bottom w:val="single" w:sz="8" w:color="auto"/>
            </w:tcBorders>
            <w:shd w:val="clear" w:color="auto" w:fill="E7E6E6"/>
          </w:tcPr>
          <w:p>
            <w:pPr>
              <w:ind w:left="540"/>
              <w:spacing w:after="0"/>
              <w:rPr>
                <w:sz w:val="20"/>
                <w:szCs w:val="20"/>
                <w:color w:val="auto"/>
              </w:rPr>
            </w:pPr>
            <w:r>
              <w:rPr>
                <w:rFonts w:ascii="Arial" w:cs="Arial" w:eastAsia="Arial" w:hAnsi="Arial"/>
                <w:sz w:val="13"/>
                <w:szCs w:val="13"/>
                <w:color w:val="auto"/>
              </w:rPr>
              <w:t>2023</w:t>
            </w:r>
          </w:p>
        </w:tc>
        <w:tc>
          <w:tcPr>
            <w:tcW w:w="1000" w:type="dxa"/>
            <w:vAlign w:val="bottom"/>
            <w:tcBorders>
              <w:bottom w:val="single" w:sz="8" w:color="auto"/>
            </w:tcBorders>
            <w:shd w:val="clear" w:color="auto" w:fill="E7E6E6"/>
          </w:tcPr>
          <w:p>
            <w:pPr>
              <w:jc w:val="right"/>
              <w:ind w:right="234"/>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E7E6E6"/>
          </w:tcPr>
          <w:p>
            <w:pPr>
              <w:jc w:val="right"/>
              <w:ind w:right="114"/>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E7E6E6"/>
          </w:tcPr>
          <w:p>
            <w:pPr>
              <w:jc w:val="right"/>
              <w:ind w:right="74"/>
              <w:spacing w:after="0"/>
              <w:rPr>
                <w:sz w:val="20"/>
                <w:szCs w:val="20"/>
                <w:color w:val="auto"/>
              </w:rPr>
            </w:pPr>
            <w:r>
              <w:rPr>
                <w:rFonts w:ascii="Arial" w:cs="Arial" w:eastAsia="Arial" w:hAnsi="Arial"/>
                <w:sz w:val="13"/>
                <w:szCs w:val="13"/>
                <w:color w:val="auto"/>
              </w:rPr>
              <w:t>1,200</w:t>
            </w:r>
          </w:p>
        </w:tc>
        <w:tc>
          <w:tcPr>
            <w:tcW w:w="1060" w:type="dxa"/>
            <w:vAlign w:val="bottom"/>
            <w:tcBorders>
              <w:bottom w:val="single" w:sz="8" w:color="auto"/>
            </w:tcBorders>
            <w:shd w:val="clear" w:color="auto" w:fill="E7E6E6"/>
          </w:tcPr>
          <w:p>
            <w:pPr>
              <w:jc w:val="right"/>
              <w:ind w:right="114"/>
              <w:spacing w:after="0"/>
              <w:rPr>
                <w:sz w:val="20"/>
                <w:szCs w:val="20"/>
                <w:color w:val="auto"/>
              </w:rPr>
            </w:pPr>
            <w:r>
              <w:rPr>
                <w:rFonts w:ascii="Arial" w:cs="Arial" w:eastAsia="Arial" w:hAnsi="Arial"/>
                <w:sz w:val="13"/>
                <w:szCs w:val="13"/>
                <w:color w:val="auto"/>
              </w:rPr>
              <w:t>14,850</w:t>
            </w:r>
          </w:p>
        </w:tc>
        <w:tc>
          <w:tcPr>
            <w:tcW w:w="1060" w:type="dxa"/>
            <w:vAlign w:val="bottom"/>
            <w:tcBorders>
              <w:bottom w:val="single" w:sz="8" w:color="auto"/>
            </w:tcBorders>
            <w:shd w:val="clear" w:color="auto" w:fill="E7E6E6"/>
          </w:tcPr>
          <w:p>
            <w:pPr>
              <w:jc w:val="right"/>
              <w:ind w:right="174"/>
              <w:spacing w:after="0"/>
              <w:rPr>
                <w:sz w:val="20"/>
                <w:szCs w:val="20"/>
                <w:color w:val="auto"/>
              </w:rPr>
            </w:pPr>
            <w:r>
              <w:rPr>
                <w:rFonts w:ascii="Arial" w:cs="Arial" w:eastAsia="Arial" w:hAnsi="Arial"/>
                <w:sz w:val="13"/>
                <w:szCs w:val="13"/>
                <w:color w:val="auto"/>
              </w:rPr>
              <w:t>4,410</w:t>
            </w:r>
          </w:p>
        </w:tc>
        <w:tc>
          <w:tcPr>
            <w:tcW w:w="1140" w:type="dxa"/>
            <w:vAlign w:val="bottom"/>
            <w:tcBorders>
              <w:bottom w:val="single" w:sz="8" w:color="auto"/>
            </w:tcBorders>
            <w:shd w:val="clear" w:color="auto" w:fill="E7E6E6"/>
          </w:tcPr>
          <w:p>
            <w:pPr>
              <w:jc w:val="right"/>
              <w:ind w:right="214"/>
              <w:spacing w:after="0"/>
              <w:rPr>
                <w:sz w:val="20"/>
                <w:szCs w:val="20"/>
                <w:color w:val="auto"/>
              </w:rPr>
            </w:pPr>
            <w:r>
              <w:rPr>
                <w:rFonts w:ascii="Arial" w:cs="Arial" w:eastAsia="Arial" w:hAnsi="Arial"/>
                <w:sz w:val="13"/>
                <w:szCs w:val="13"/>
                <w:color w:val="auto"/>
              </w:rPr>
              <w:t>5,760</w:t>
            </w:r>
          </w:p>
        </w:tc>
        <w:tc>
          <w:tcPr>
            <w:tcW w:w="940" w:type="dxa"/>
            <w:vAlign w:val="bottom"/>
            <w:tcBorders>
              <w:bottom w:val="single" w:sz="8" w:color="auto"/>
            </w:tcBorders>
            <w:shd w:val="clear" w:color="auto" w:fill="E7E6E6"/>
          </w:tcPr>
          <w:p>
            <w:pPr>
              <w:jc w:val="right"/>
              <w:ind w:right="114"/>
              <w:spacing w:after="0"/>
              <w:rPr>
                <w:sz w:val="20"/>
                <w:szCs w:val="20"/>
                <w:color w:val="auto"/>
              </w:rPr>
            </w:pPr>
            <w:r>
              <w:rPr>
                <w:rFonts w:ascii="Arial" w:cs="Arial" w:eastAsia="Arial" w:hAnsi="Arial"/>
                <w:sz w:val="13"/>
                <w:szCs w:val="13"/>
                <w:color w:val="auto"/>
              </w:rPr>
              <w:t>26,220</w:t>
            </w:r>
          </w:p>
        </w:tc>
      </w:tr>
    </w:tbl>
    <w:p>
      <w:pPr>
        <w:spacing w:after="0" w:line="137" w:lineRule="exact"/>
        <w:rPr>
          <w:sz w:val="20"/>
          <w:szCs w:val="20"/>
          <w:color w:val="auto"/>
        </w:rPr>
      </w:pPr>
    </w:p>
    <w:p>
      <w:pPr>
        <w:ind w:left="300" w:hanging="300"/>
        <w:spacing w:after="0"/>
        <w:tabs>
          <w:tab w:leader="none" w:pos="3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Amounts represent director fees paid by BAM prior to July 1, 2024, when the Company ceased to consolidate BAM in its results.</w:t>
      </w:r>
    </w:p>
    <w:p>
      <w:pPr>
        <w:spacing w:after="0" w:line="175" w:lineRule="exact"/>
        <w:rPr>
          <w:rFonts w:ascii="Arial" w:cs="Arial" w:eastAsia="Arial" w:hAnsi="Arial"/>
          <w:sz w:val="15"/>
          <w:szCs w:val="15"/>
          <w:color w:val="auto"/>
        </w:rPr>
      </w:pPr>
    </w:p>
    <w:p>
      <w:pPr>
        <w:ind w:left="300" w:hanging="300"/>
        <w:spacing w:after="0" w:line="259" w:lineRule="auto"/>
        <w:tabs>
          <w:tab w:leader="none" w:pos="3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Amounts represent the aggregate incremental cost to the Company for the use of corporate aircraft that were not otherwise in use for business. For Company aircraft, the incremental cost is the cost per hour multiplied by the number of hours of use. For third party aircraft services, the incremental cost is the amount invoiced to the Company by the third-party aircraft provider.</w:t>
      </w:r>
    </w:p>
    <w:p>
      <w:pPr>
        <w:spacing w:after="0" w:line="138" w:lineRule="exact"/>
        <w:rPr>
          <w:rFonts w:ascii="Arial" w:cs="Arial" w:eastAsia="Arial" w:hAnsi="Arial"/>
          <w:sz w:val="15"/>
          <w:szCs w:val="15"/>
          <w:color w:val="auto"/>
        </w:rPr>
      </w:pPr>
    </w:p>
    <w:p>
      <w:pPr>
        <w:ind w:left="300" w:hanging="300"/>
        <w:spacing w:after="0"/>
        <w:tabs>
          <w:tab w:leader="none" w:pos="3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For Mr. Caffrey, the amounts represent relocation expenses paid by the Company on his behalf.</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20"/>
          </w:cols>
          <w:pgMar w:left="320" w:top="815" w:right="35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191" w:lineRule="exact"/>
        <w:rPr>
          <w:sz w:val="20"/>
          <w:szCs w:val="20"/>
          <w:color w:val="auto"/>
        </w:rPr>
      </w:pPr>
    </w:p>
    <w:p>
      <w:pPr>
        <w:ind w:right="200" w:firstLine="299"/>
        <w:spacing w:after="0" w:line="270" w:lineRule="auto"/>
        <w:rPr>
          <w:sz w:val="20"/>
          <w:szCs w:val="20"/>
          <w:color w:val="auto"/>
        </w:rPr>
      </w:pPr>
      <w:r>
        <w:rPr>
          <w:rFonts w:ascii="Arial" w:cs="Arial" w:eastAsia="Arial" w:hAnsi="Arial"/>
          <w:sz w:val="18"/>
          <w:szCs w:val="18"/>
          <w:color w:val="auto"/>
        </w:rPr>
        <w:t>The following table presents plan-based awards granted, except as otherwise noted, under the White Mountains Long-Term Incentive Plan (the “WTM Incentive Plan”) to the Named Executive Officers that received such awards during 2025:</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4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2600" w:type="dxa"/>
            <w:vAlign w:val="bottom"/>
            <w:tcBorders>
              <w:top w:val="single" w:sz="8" w:color="auto"/>
            </w:tcBorders>
            <w:gridSpan w:val="4"/>
          </w:tcPr>
          <w:p>
            <w:pPr>
              <w:jc w:val="center"/>
              <w:spacing w:after="0"/>
              <w:rPr>
                <w:sz w:val="20"/>
                <w:szCs w:val="20"/>
                <w:color w:val="auto"/>
              </w:rPr>
            </w:pPr>
            <w:r>
              <w:rPr>
                <w:rFonts w:ascii="Arial" w:cs="Arial" w:eastAsia="Arial" w:hAnsi="Arial"/>
                <w:sz w:val="13"/>
                <w:szCs w:val="13"/>
                <w:color w:val="auto"/>
              </w:rPr>
              <w:t>Estimated Future Payouts</w:t>
            </w:r>
          </w:p>
        </w:tc>
        <w:tc>
          <w:tcPr>
            <w:tcW w:w="2300" w:type="dxa"/>
            <w:vAlign w:val="bottom"/>
            <w:tcBorders>
              <w:top w:val="single" w:sz="8" w:color="auto"/>
            </w:tcBorders>
            <w:gridSpan w:val="4"/>
          </w:tcPr>
          <w:p>
            <w:pPr>
              <w:jc w:val="center"/>
              <w:ind w:right="60"/>
              <w:spacing w:after="0"/>
              <w:rPr>
                <w:sz w:val="20"/>
                <w:szCs w:val="20"/>
                <w:color w:val="auto"/>
              </w:rPr>
            </w:pPr>
            <w:r>
              <w:rPr>
                <w:rFonts w:ascii="Arial" w:cs="Arial" w:eastAsia="Arial" w:hAnsi="Arial"/>
                <w:sz w:val="13"/>
                <w:szCs w:val="13"/>
                <w:color w:val="auto"/>
              </w:rPr>
              <w:t>Estimated Future Payouts</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All Other</w:t>
            </w:r>
          </w:p>
        </w:tc>
        <w:tc>
          <w:tcPr>
            <w:tcW w:w="860" w:type="dxa"/>
            <w:vAlign w:val="bottom"/>
            <w:tcBorders>
              <w:top w:val="single" w:sz="8" w:color="auto"/>
            </w:tcBorders>
          </w:tcPr>
          <w:p>
            <w:pPr>
              <w:jc w:val="right"/>
              <w:ind w:right="74"/>
              <w:spacing w:after="0"/>
              <w:rPr>
                <w:sz w:val="20"/>
                <w:szCs w:val="20"/>
                <w:color w:val="auto"/>
              </w:rPr>
            </w:pPr>
            <w:r>
              <w:rPr>
                <w:rFonts w:ascii="Arial" w:cs="Arial" w:eastAsia="Arial" w:hAnsi="Arial"/>
                <w:sz w:val="13"/>
                <w:szCs w:val="13"/>
                <w:color w:val="auto"/>
              </w:rPr>
              <w:t>All Other</w:t>
            </w:r>
          </w:p>
        </w:tc>
        <w:tc>
          <w:tcPr>
            <w:tcW w:w="7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r>
      <w:tr>
        <w:trPr>
          <w:trHeight w:val="149"/>
        </w:trPr>
        <w:tc>
          <w:tcPr>
            <w:tcW w:w="1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0" w:type="dxa"/>
            <w:vAlign w:val="bottom"/>
            <w:gridSpan w:val="4"/>
          </w:tcPr>
          <w:p>
            <w:pPr>
              <w:jc w:val="center"/>
              <w:spacing w:after="0"/>
              <w:rPr>
                <w:sz w:val="20"/>
                <w:szCs w:val="20"/>
                <w:color w:val="auto"/>
              </w:rPr>
            </w:pPr>
            <w:r>
              <w:rPr>
                <w:rFonts w:ascii="Arial" w:cs="Arial" w:eastAsia="Arial" w:hAnsi="Arial"/>
                <w:sz w:val="13"/>
                <w:szCs w:val="13"/>
                <w:color w:val="auto"/>
              </w:rPr>
              <w:t>Under Non-Equity Incentive Plan</w:t>
            </w:r>
          </w:p>
        </w:tc>
        <w:tc>
          <w:tcPr>
            <w:tcW w:w="2300" w:type="dxa"/>
            <w:vAlign w:val="bottom"/>
            <w:gridSpan w:val="4"/>
          </w:tcPr>
          <w:p>
            <w:pPr>
              <w:jc w:val="center"/>
              <w:ind w:right="60"/>
              <w:spacing w:after="0"/>
              <w:rPr>
                <w:sz w:val="20"/>
                <w:szCs w:val="20"/>
                <w:color w:val="auto"/>
              </w:rPr>
            </w:pPr>
            <w:r>
              <w:rPr>
                <w:rFonts w:ascii="Arial" w:cs="Arial" w:eastAsia="Arial" w:hAnsi="Arial"/>
                <w:sz w:val="13"/>
                <w:szCs w:val="13"/>
                <w:color w:val="auto"/>
              </w:rPr>
              <w:t>Under Equity Incentive Plan</w:t>
            </w:r>
          </w:p>
        </w:tc>
        <w:tc>
          <w:tcPr>
            <w:tcW w:w="780" w:type="dxa"/>
            <w:vAlign w:val="bottom"/>
          </w:tcPr>
          <w:p>
            <w:pPr>
              <w:jc w:val="right"/>
              <w:spacing w:after="0"/>
              <w:rPr>
                <w:sz w:val="20"/>
                <w:szCs w:val="20"/>
                <w:color w:val="auto"/>
              </w:rPr>
            </w:pPr>
            <w:r>
              <w:rPr>
                <w:rFonts w:ascii="Arial" w:cs="Arial" w:eastAsia="Arial" w:hAnsi="Arial"/>
                <w:sz w:val="13"/>
                <w:szCs w:val="13"/>
                <w:color w:val="auto"/>
              </w:rPr>
              <w:t>Stock</w:t>
            </w:r>
          </w:p>
        </w:tc>
        <w:tc>
          <w:tcPr>
            <w:tcW w:w="860" w:type="dxa"/>
            <w:vAlign w:val="bottom"/>
          </w:tcPr>
          <w:p>
            <w:pPr>
              <w:jc w:val="right"/>
              <w:ind w:right="74"/>
              <w:spacing w:after="0"/>
              <w:rPr>
                <w:sz w:val="20"/>
                <w:szCs w:val="20"/>
                <w:color w:val="auto"/>
              </w:rPr>
            </w:pPr>
            <w:r>
              <w:rPr>
                <w:rFonts w:ascii="Arial" w:cs="Arial" w:eastAsia="Arial" w:hAnsi="Arial"/>
                <w:sz w:val="13"/>
                <w:szCs w:val="13"/>
                <w:color w:val="auto"/>
              </w:rPr>
              <w:t>Option</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57"/>
        </w:trPr>
        <w:tc>
          <w:tcPr>
            <w:tcW w:w="1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color w:val="auto"/>
              </w:rPr>
              <w:t>Awards (a)</w:t>
            </w: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rPr>
              <w:t>Awards (b)</w:t>
            </w:r>
          </w:p>
        </w:tc>
        <w:tc>
          <w:tcPr>
            <w:tcW w:w="6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Awards:</w:t>
            </w:r>
          </w:p>
        </w:tc>
        <w:tc>
          <w:tcPr>
            <w:tcW w:w="860" w:type="dxa"/>
            <w:vAlign w:val="bottom"/>
          </w:tcPr>
          <w:p>
            <w:pPr>
              <w:jc w:val="right"/>
              <w:ind w:right="74"/>
              <w:spacing w:after="0"/>
              <w:rPr>
                <w:sz w:val="20"/>
                <w:szCs w:val="20"/>
                <w:color w:val="auto"/>
              </w:rPr>
            </w:pPr>
            <w:r>
              <w:rPr>
                <w:rFonts w:ascii="Arial" w:cs="Arial" w:eastAsia="Arial" w:hAnsi="Arial"/>
                <w:sz w:val="13"/>
                <w:szCs w:val="13"/>
                <w:color w:val="auto"/>
              </w:rPr>
              <w:t>Awards:</w:t>
            </w:r>
          </w:p>
        </w:tc>
        <w:tc>
          <w:tcPr>
            <w:tcW w:w="700" w:type="dxa"/>
            <w:vAlign w:val="bottom"/>
          </w:tcPr>
          <w:p>
            <w:pPr>
              <w:jc w:val="right"/>
              <w:spacing w:after="0"/>
              <w:rPr>
                <w:sz w:val="20"/>
                <w:szCs w:val="20"/>
                <w:color w:val="auto"/>
              </w:rPr>
            </w:pPr>
            <w:r>
              <w:rPr>
                <w:rFonts w:ascii="Arial" w:cs="Arial" w:eastAsia="Arial" w:hAnsi="Arial"/>
                <w:sz w:val="13"/>
                <w:szCs w:val="13"/>
                <w:color w:val="auto"/>
              </w:rPr>
              <w:t>Exercise</w:t>
            </w:r>
          </w:p>
        </w:tc>
        <w:tc>
          <w:tcPr>
            <w:tcW w:w="720" w:type="dxa"/>
            <w:vAlign w:val="bottom"/>
          </w:tcPr>
          <w:p>
            <w:pPr>
              <w:jc w:val="right"/>
              <w:spacing w:after="0"/>
              <w:rPr>
                <w:sz w:val="20"/>
                <w:szCs w:val="20"/>
                <w:color w:val="auto"/>
              </w:rPr>
            </w:pPr>
            <w:r>
              <w:rPr>
                <w:rFonts w:ascii="Arial" w:cs="Arial" w:eastAsia="Arial" w:hAnsi="Arial"/>
                <w:sz w:val="13"/>
                <w:szCs w:val="13"/>
                <w:color w:val="auto"/>
              </w:rPr>
              <w:t>Grant Date</w:t>
            </w:r>
          </w:p>
        </w:tc>
      </w:tr>
      <w:tr>
        <w:trPr>
          <w:trHeight w:val="122"/>
        </w:trPr>
        <w:tc>
          <w:tcPr>
            <w:tcW w:w="1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ind w:right="34"/>
              <w:spacing w:after="0" w:line="122" w:lineRule="exact"/>
              <w:rPr>
                <w:sz w:val="20"/>
                <w:szCs w:val="20"/>
                <w:color w:val="auto"/>
              </w:rPr>
            </w:pPr>
            <w:r>
              <w:rPr>
                <w:rFonts w:ascii="Arial" w:cs="Arial" w:eastAsia="Arial" w:hAnsi="Arial"/>
                <w:sz w:val="13"/>
                <w:szCs w:val="13"/>
                <w:color w:val="auto"/>
              </w:rPr>
              <w:t>Number of</w:t>
            </w:r>
          </w:p>
        </w:tc>
        <w:tc>
          <w:tcPr>
            <w:tcW w:w="860" w:type="dxa"/>
            <w:vAlign w:val="bottom"/>
          </w:tcPr>
          <w:p>
            <w:pPr>
              <w:jc w:val="right"/>
              <w:ind w:right="74"/>
              <w:spacing w:after="0" w:line="122" w:lineRule="exact"/>
              <w:rPr>
                <w:sz w:val="20"/>
                <w:szCs w:val="20"/>
                <w:color w:val="auto"/>
              </w:rPr>
            </w:pPr>
            <w:r>
              <w:rPr>
                <w:rFonts w:ascii="Arial" w:cs="Arial" w:eastAsia="Arial" w:hAnsi="Arial"/>
                <w:sz w:val="13"/>
                <w:szCs w:val="13"/>
                <w:color w:val="auto"/>
              </w:rPr>
              <w:t>Number of</w:t>
            </w:r>
          </w:p>
        </w:tc>
        <w:tc>
          <w:tcPr>
            <w:tcW w:w="700" w:type="dxa"/>
            <w:vAlign w:val="bottom"/>
          </w:tcPr>
          <w:p>
            <w:pPr>
              <w:jc w:val="right"/>
              <w:spacing w:after="0" w:line="122" w:lineRule="exact"/>
              <w:rPr>
                <w:sz w:val="20"/>
                <w:szCs w:val="20"/>
                <w:color w:val="auto"/>
              </w:rPr>
            </w:pPr>
            <w:r>
              <w:rPr>
                <w:rFonts w:ascii="Arial" w:cs="Arial" w:eastAsia="Arial" w:hAnsi="Arial"/>
                <w:sz w:val="13"/>
                <w:szCs w:val="13"/>
                <w:color w:val="auto"/>
              </w:rPr>
              <w:t>or Base</w:t>
            </w:r>
          </w:p>
        </w:tc>
        <w:tc>
          <w:tcPr>
            <w:tcW w:w="720" w:type="dxa"/>
            <w:vAlign w:val="bottom"/>
          </w:tcPr>
          <w:p>
            <w:pPr>
              <w:jc w:val="right"/>
              <w:spacing w:after="0" w:line="122" w:lineRule="exact"/>
              <w:rPr>
                <w:sz w:val="20"/>
                <w:szCs w:val="20"/>
                <w:color w:val="auto"/>
              </w:rPr>
            </w:pPr>
            <w:r>
              <w:rPr>
                <w:rFonts w:ascii="Arial" w:cs="Arial" w:eastAsia="Arial" w:hAnsi="Arial"/>
                <w:sz w:val="13"/>
                <w:szCs w:val="13"/>
                <w:color w:val="auto"/>
              </w:rPr>
              <w:t>Fair Value</w:t>
            </w:r>
          </w:p>
        </w:tc>
      </w:tr>
      <w:tr>
        <w:trPr>
          <w:trHeight w:val="149"/>
        </w:trPr>
        <w:tc>
          <w:tcPr>
            <w:tcW w:w="1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Shares</w:t>
            </w:r>
          </w:p>
        </w:tc>
        <w:tc>
          <w:tcPr>
            <w:tcW w:w="860" w:type="dxa"/>
            <w:vAlign w:val="bottom"/>
          </w:tcPr>
          <w:p>
            <w:pPr>
              <w:jc w:val="right"/>
              <w:ind w:right="74"/>
              <w:spacing w:after="0"/>
              <w:rPr>
                <w:sz w:val="20"/>
                <w:szCs w:val="20"/>
                <w:color w:val="auto"/>
              </w:rPr>
            </w:pPr>
            <w:r>
              <w:rPr>
                <w:rFonts w:ascii="Arial" w:cs="Arial" w:eastAsia="Arial" w:hAnsi="Arial"/>
                <w:sz w:val="13"/>
                <w:szCs w:val="13"/>
                <w:color w:val="auto"/>
              </w:rPr>
              <w:t>Securities</w:t>
            </w: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Price of</w:t>
            </w:r>
          </w:p>
        </w:tc>
        <w:tc>
          <w:tcPr>
            <w:tcW w:w="720" w:type="dxa"/>
            <w:vAlign w:val="bottom"/>
          </w:tcPr>
          <w:p>
            <w:pPr>
              <w:jc w:val="right"/>
              <w:spacing w:after="0"/>
              <w:rPr>
                <w:sz w:val="20"/>
                <w:szCs w:val="20"/>
                <w:color w:val="auto"/>
              </w:rPr>
            </w:pPr>
            <w:r>
              <w:rPr>
                <w:rFonts w:ascii="Arial" w:cs="Arial" w:eastAsia="Arial" w:hAnsi="Arial"/>
                <w:sz w:val="13"/>
                <w:szCs w:val="13"/>
                <w:color w:val="auto"/>
              </w:rPr>
              <w:t>of Stock</w:t>
            </w:r>
          </w:p>
        </w:tc>
      </w:tr>
      <w:tr>
        <w:trPr>
          <w:trHeight w:val="149"/>
        </w:trPr>
        <w:tc>
          <w:tcPr>
            <w:tcW w:w="1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of Stock</w:t>
            </w:r>
          </w:p>
        </w:tc>
        <w:tc>
          <w:tcPr>
            <w:tcW w:w="860" w:type="dxa"/>
            <w:vAlign w:val="bottom"/>
          </w:tcPr>
          <w:p>
            <w:pPr>
              <w:jc w:val="right"/>
              <w:ind w:right="114"/>
              <w:spacing w:after="0"/>
              <w:rPr>
                <w:sz w:val="20"/>
                <w:szCs w:val="20"/>
                <w:color w:val="auto"/>
              </w:rPr>
            </w:pPr>
            <w:r>
              <w:rPr>
                <w:rFonts w:ascii="Arial" w:cs="Arial" w:eastAsia="Arial" w:hAnsi="Arial"/>
                <w:sz w:val="13"/>
                <w:szCs w:val="13"/>
                <w:color w:val="auto"/>
              </w:rPr>
              <w:t>Underlying</w:t>
            </w: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Option</w:t>
            </w:r>
          </w:p>
        </w:tc>
        <w:tc>
          <w:tcPr>
            <w:tcW w:w="720" w:type="dxa"/>
            <w:vAlign w:val="bottom"/>
          </w:tcPr>
          <w:p>
            <w:pPr>
              <w:jc w:val="right"/>
              <w:spacing w:after="0"/>
              <w:rPr>
                <w:sz w:val="20"/>
                <w:szCs w:val="20"/>
                <w:color w:val="auto"/>
              </w:rPr>
            </w:pPr>
            <w:r>
              <w:rPr>
                <w:rFonts w:ascii="Arial" w:cs="Arial" w:eastAsia="Arial" w:hAnsi="Arial"/>
                <w:sz w:val="13"/>
                <w:szCs w:val="13"/>
                <w:color w:val="auto"/>
              </w:rPr>
              <w:t>and Option</w:t>
            </w:r>
          </w:p>
        </w:tc>
      </w:tr>
      <w:tr>
        <w:trPr>
          <w:trHeight w:val="149"/>
        </w:trPr>
        <w:tc>
          <w:tcPr>
            <w:tcW w:w="1460" w:type="dxa"/>
            <w:vAlign w:val="bottom"/>
          </w:tcPr>
          <w:p>
            <w:pPr>
              <w:spacing w:after="0"/>
              <w:rPr>
                <w:sz w:val="12"/>
                <w:szCs w:val="12"/>
                <w:color w:val="auto"/>
              </w:rPr>
            </w:pPr>
          </w:p>
        </w:tc>
        <w:tc>
          <w:tcPr>
            <w:tcW w:w="540" w:type="dxa"/>
            <w:vAlign w:val="bottom"/>
          </w:tcPr>
          <w:p>
            <w:pPr>
              <w:ind w:left="120"/>
              <w:spacing w:after="0"/>
              <w:rPr>
                <w:sz w:val="20"/>
                <w:szCs w:val="20"/>
                <w:color w:val="auto"/>
              </w:rPr>
            </w:pPr>
            <w:r>
              <w:rPr>
                <w:rFonts w:ascii="Arial" w:cs="Arial" w:eastAsia="Arial" w:hAnsi="Arial"/>
                <w:sz w:val="13"/>
                <w:szCs w:val="13"/>
                <w:color w:val="auto"/>
              </w:rPr>
              <w:t>Grant</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tcPr>
          <w:p>
            <w:pPr>
              <w:jc w:val="right"/>
              <w:ind w:right="54"/>
              <w:spacing w:after="0"/>
              <w:rPr>
                <w:sz w:val="20"/>
                <w:szCs w:val="20"/>
                <w:color w:val="auto"/>
              </w:rPr>
            </w:pPr>
            <w:r>
              <w:rPr>
                <w:rFonts w:ascii="Arial" w:cs="Arial" w:eastAsia="Arial" w:hAnsi="Arial"/>
                <w:sz w:val="13"/>
                <w:szCs w:val="13"/>
                <w:color w:val="auto"/>
              </w:rPr>
              <w:t>Threshold</w:t>
            </w:r>
          </w:p>
        </w:tc>
        <w:tc>
          <w:tcPr>
            <w:tcW w:w="800" w:type="dxa"/>
            <w:vAlign w:val="bottom"/>
          </w:tcPr>
          <w:p>
            <w:pPr>
              <w:jc w:val="center"/>
              <w:ind w:right="14"/>
              <w:spacing w:after="0"/>
              <w:rPr>
                <w:sz w:val="20"/>
                <w:szCs w:val="20"/>
                <w:color w:val="auto"/>
              </w:rPr>
            </w:pPr>
            <w:r>
              <w:rPr>
                <w:rFonts w:ascii="Arial" w:cs="Arial" w:eastAsia="Arial" w:hAnsi="Arial"/>
                <w:sz w:val="13"/>
                <w:szCs w:val="13"/>
                <w:color w:val="auto"/>
                <w:w w:val="95"/>
              </w:rPr>
              <w:t>Target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Maximum</w:t>
            </w:r>
          </w:p>
        </w:tc>
        <w:tc>
          <w:tcPr>
            <w:tcW w:w="780" w:type="dxa"/>
            <w:vAlign w:val="bottom"/>
          </w:tcPr>
          <w:p>
            <w:pPr>
              <w:jc w:val="right"/>
              <w:ind w:right="34"/>
              <w:spacing w:after="0"/>
              <w:rPr>
                <w:sz w:val="20"/>
                <w:szCs w:val="20"/>
                <w:color w:val="auto"/>
              </w:rPr>
            </w:pPr>
            <w:r>
              <w:rPr>
                <w:rFonts w:ascii="Arial" w:cs="Arial" w:eastAsia="Arial" w:hAnsi="Arial"/>
                <w:sz w:val="13"/>
                <w:szCs w:val="13"/>
                <w:color w:val="auto"/>
              </w:rPr>
              <w:t>Threshold</w:t>
            </w:r>
          </w:p>
        </w:tc>
        <w:tc>
          <w:tcPr>
            <w:tcW w:w="800" w:type="dxa"/>
            <w:vAlign w:val="bottom"/>
          </w:tcPr>
          <w:p>
            <w:pPr>
              <w:jc w:val="right"/>
              <w:ind w:right="154"/>
              <w:spacing w:after="0"/>
              <w:rPr>
                <w:sz w:val="20"/>
                <w:szCs w:val="20"/>
                <w:color w:val="auto"/>
              </w:rPr>
            </w:pPr>
            <w:r>
              <w:rPr>
                <w:rFonts w:ascii="Arial" w:cs="Arial" w:eastAsia="Arial" w:hAnsi="Arial"/>
                <w:sz w:val="13"/>
                <w:szCs w:val="13"/>
                <w:color w:val="auto"/>
              </w:rPr>
              <w:t>Target</w:t>
            </w:r>
          </w:p>
        </w:tc>
        <w:tc>
          <w:tcPr>
            <w:tcW w:w="720" w:type="dxa"/>
            <w:vAlign w:val="bottom"/>
            <w:gridSpan w:val="2"/>
          </w:tcPr>
          <w:p>
            <w:pPr>
              <w:ind w:left="20"/>
              <w:spacing w:after="0"/>
              <w:rPr>
                <w:sz w:val="20"/>
                <w:szCs w:val="20"/>
                <w:color w:val="auto"/>
              </w:rPr>
            </w:pPr>
            <w:r>
              <w:rPr>
                <w:rFonts w:ascii="Arial" w:cs="Arial" w:eastAsia="Arial" w:hAnsi="Arial"/>
                <w:sz w:val="13"/>
                <w:szCs w:val="13"/>
                <w:color w:val="auto"/>
              </w:rPr>
              <w:t>Maximum</w:t>
            </w:r>
          </w:p>
        </w:tc>
        <w:tc>
          <w:tcPr>
            <w:tcW w:w="780" w:type="dxa"/>
            <w:vAlign w:val="bottom"/>
          </w:tcPr>
          <w:p>
            <w:pPr>
              <w:jc w:val="right"/>
              <w:spacing w:after="0"/>
              <w:rPr>
                <w:sz w:val="20"/>
                <w:szCs w:val="20"/>
                <w:color w:val="auto"/>
              </w:rPr>
            </w:pPr>
            <w:r>
              <w:rPr>
                <w:rFonts w:ascii="Arial" w:cs="Arial" w:eastAsia="Arial" w:hAnsi="Arial"/>
                <w:sz w:val="13"/>
                <w:szCs w:val="13"/>
                <w:color w:val="auto"/>
              </w:rPr>
              <w:t>or Units</w:t>
            </w:r>
          </w:p>
        </w:tc>
        <w:tc>
          <w:tcPr>
            <w:tcW w:w="860" w:type="dxa"/>
            <w:vAlign w:val="bottom"/>
          </w:tcPr>
          <w:p>
            <w:pPr>
              <w:jc w:val="right"/>
              <w:ind w:right="74"/>
              <w:spacing w:after="0"/>
              <w:rPr>
                <w:sz w:val="20"/>
                <w:szCs w:val="20"/>
                <w:color w:val="auto"/>
              </w:rPr>
            </w:pPr>
            <w:r>
              <w:rPr>
                <w:rFonts w:ascii="Arial" w:cs="Arial" w:eastAsia="Arial" w:hAnsi="Arial"/>
                <w:sz w:val="13"/>
                <w:szCs w:val="13"/>
                <w:color w:val="auto"/>
              </w:rPr>
              <w:t>Options</w:t>
            </w: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Awards</w:t>
            </w:r>
          </w:p>
        </w:tc>
        <w:tc>
          <w:tcPr>
            <w:tcW w:w="720" w:type="dxa"/>
            <w:vAlign w:val="bottom"/>
          </w:tcPr>
          <w:p>
            <w:pPr>
              <w:jc w:val="right"/>
              <w:spacing w:after="0"/>
              <w:rPr>
                <w:sz w:val="20"/>
                <w:szCs w:val="20"/>
                <w:color w:val="auto"/>
              </w:rPr>
            </w:pPr>
            <w:r>
              <w:rPr>
                <w:rFonts w:ascii="Arial" w:cs="Arial" w:eastAsia="Arial" w:hAnsi="Arial"/>
                <w:sz w:val="13"/>
                <w:szCs w:val="13"/>
                <w:color w:val="auto"/>
              </w:rPr>
              <w:t>Awards</w:t>
            </w:r>
          </w:p>
        </w:tc>
      </w:tr>
      <w:tr>
        <w:trPr>
          <w:trHeight w:val="157"/>
        </w:trPr>
        <w:tc>
          <w:tcPr>
            <w:tcW w:w="14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Name</w:t>
            </w:r>
          </w:p>
        </w:tc>
        <w:tc>
          <w:tcPr>
            <w:tcW w:w="54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Date</w:t>
            </w:r>
          </w:p>
        </w:tc>
        <w:tc>
          <w:tcPr>
            <w:tcW w:w="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Type of Award</w:t>
            </w: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(c) (#)</w:t>
            </w:r>
          </w:p>
        </w:tc>
        <w:tc>
          <w:tcPr>
            <w:tcW w:w="86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($/sh)</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(d) ($)</w:t>
            </w:r>
          </w:p>
        </w:tc>
      </w:tr>
      <w:tr>
        <w:trPr>
          <w:trHeight w:val="134"/>
        </w:trPr>
        <w:tc>
          <w:tcPr>
            <w:tcW w:w="1460" w:type="dxa"/>
            <w:vAlign w:val="bottom"/>
            <w:shd w:val="clear" w:color="auto" w:fill="E5E5E5"/>
          </w:tcPr>
          <w:p>
            <w:pPr>
              <w:spacing w:after="0" w:line="134" w:lineRule="exact"/>
              <w:rPr>
                <w:sz w:val="20"/>
                <w:szCs w:val="20"/>
                <w:color w:val="auto"/>
              </w:rPr>
            </w:pPr>
            <w:r>
              <w:rPr>
                <w:rFonts w:ascii="Arial" w:cs="Arial" w:eastAsia="Arial" w:hAnsi="Arial"/>
                <w:sz w:val="13"/>
                <w:szCs w:val="13"/>
                <w:color w:val="auto"/>
              </w:rPr>
              <w:t>G. Manning Rountree</w:t>
            </w:r>
          </w:p>
        </w:tc>
        <w:tc>
          <w:tcPr>
            <w:tcW w:w="540" w:type="dxa"/>
            <w:vAlign w:val="bottom"/>
            <w:shd w:val="clear" w:color="auto" w:fill="E5E5E5"/>
          </w:tcPr>
          <w:p>
            <w:pPr>
              <w:spacing w:after="0"/>
              <w:rPr>
                <w:sz w:val="11"/>
                <w:szCs w:val="11"/>
                <w:color w:val="auto"/>
              </w:rPr>
            </w:pPr>
          </w:p>
        </w:tc>
        <w:tc>
          <w:tcPr>
            <w:tcW w:w="1280" w:type="dxa"/>
            <w:vAlign w:val="bottom"/>
            <w:gridSpan w:val="2"/>
            <w:shd w:val="clear" w:color="auto" w:fill="E5E5E5"/>
          </w:tcPr>
          <w:p>
            <w:pPr>
              <w:ind w:left="40"/>
              <w:spacing w:after="0" w:line="134" w:lineRule="exact"/>
              <w:rPr>
                <w:sz w:val="20"/>
                <w:szCs w:val="20"/>
                <w:color w:val="auto"/>
              </w:rPr>
            </w:pPr>
            <w:r>
              <w:rPr>
                <w:rFonts w:ascii="Arial" w:cs="Arial" w:eastAsia="Arial" w:hAnsi="Arial"/>
                <w:sz w:val="13"/>
                <w:szCs w:val="13"/>
                <w:color w:val="auto"/>
              </w:rPr>
              <w:t>Annual Incentive</w:t>
            </w:r>
          </w:p>
        </w:tc>
        <w:tc>
          <w:tcPr>
            <w:tcW w:w="940" w:type="dxa"/>
            <w:vAlign w:val="bottom"/>
            <w:shd w:val="clear" w:color="auto" w:fill="E5E5E5"/>
          </w:tcPr>
          <w:p>
            <w:pPr>
              <w:spacing w:after="0"/>
              <w:rPr>
                <w:sz w:val="11"/>
                <w:szCs w:val="11"/>
                <w:color w:val="auto"/>
              </w:rPr>
            </w:pPr>
          </w:p>
        </w:tc>
        <w:tc>
          <w:tcPr>
            <w:tcW w:w="800" w:type="dxa"/>
            <w:vAlign w:val="bottom"/>
            <w:shd w:val="clear" w:color="auto" w:fill="E5E5E5"/>
          </w:tcPr>
          <w:p>
            <w:pPr>
              <w:spacing w:after="0"/>
              <w:rPr>
                <w:sz w:val="11"/>
                <w:szCs w:val="11"/>
                <w:color w:val="auto"/>
              </w:rPr>
            </w:pPr>
          </w:p>
        </w:tc>
        <w:tc>
          <w:tcPr>
            <w:tcW w:w="74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780" w:type="dxa"/>
            <w:vAlign w:val="bottom"/>
            <w:shd w:val="clear" w:color="auto" w:fill="E5E5E5"/>
          </w:tcPr>
          <w:p>
            <w:pPr>
              <w:spacing w:after="0"/>
              <w:rPr>
                <w:sz w:val="11"/>
                <w:szCs w:val="11"/>
                <w:color w:val="auto"/>
              </w:rPr>
            </w:pPr>
          </w:p>
        </w:tc>
        <w:tc>
          <w:tcPr>
            <w:tcW w:w="800" w:type="dxa"/>
            <w:vAlign w:val="bottom"/>
            <w:shd w:val="clear" w:color="auto" w:fill="E5E5E5"/>
          </w:tcPr>
          <w:p>
            <w:pPr>
              <w:spacing w:after="0"/>
              <w:rPr>
                <w:sz w:val="11"/>
                <w:szCs w:val="11"/>
                <w:color w:val="auto"/>
              </w:rPr>
            </w:pPr>
          </w:p>
        </w:tc>
        <w:tc>
          <w:tcPr>
            <w:tcW w:w="660" w:type="dxa"/>
            <w:vAlign w:val="bottom"/>
            <w:shd w:val="clear" w:color="auto" w:fill="E5E5E5"/>
          </w:tcPr>
          <w:p>
            <w:pPr>
              <w:spacing w:after="0"/>
              <w:rPr>
                <w:sz w:val="11"/>
                <w:szCs w:val="11"/>
                <w:color w:val="auto"/>
              </w:rPr>
            </w:pPr>
          </w:p>
        </w:tc>
        <w:tc>
          <w:tcPr>
            <w:tcW w:w="60" w:type="dxa"/>
            <w:vAlign w:val="bottom"/>
            <w:shd w:val="clear" w:color="auto" w:fill="E5E5E5"/>
          </w:tcPr>
          <w:p>
            <w:pPr>
              <w:spacing w:after="0"/>
              <w:rPr>
                <w:sz w:val="11"/>
                <w:szCs w:val="11"/>
                <w:color w:val="auto"/>
              </w:rPr>
            </w:pPr>
          </w:p>
        </w:tc>
        <w:tc>
          <w:tcPr>
            <w:tcW w:w="780" w:type="dxa"/>
            <w:vAlign w:val="bottom"/>
            <w:shd w:val="clear" w:color="auto" w:fill="E5E5E5"/>
          </w:tcPr>
          <w:p>
            <w:pPr>
              <w:spacing w:after="0"/>
              <w:rPr>
                <w:sz w:val="11"/>
                <w:szCs w:val="11"/>
                <w:color w:val="auto"/>
              </w:rPr>
            </w:pPr>
          </w:p>
        </w:tc>
        <w:tc>
          <w:tcPr>
            <w:tcW w:w="860" w:type="dxa"/>
            <w:vAlign w:val="bottom"/>
            <w:shd w:val="clear" w:color="auto" w:fill="E5E5E5"/>
          </w:tcPr>
          <w:p>
            <w:pPr>
              <w:spacing w:after="0"/>
              <w:rPr>
                <w:sz w:val="11"/>
                <w:szCs w:val="11"/>
                <w:color w:val="auto"/>
              </w:rPr>
            </w:pPr>
          </w:p>
        </w:tc>
        <w:tc>
          <w:tcPr>
            <w:tcW w:w="700" w:type="dxa"/>
            <w:vAlign w:val="bottom"/>
            <w:shd w:val="clear" w:color="auto" w:fill="E5E5E5"/>
          </w:tcPr>
          <w:p>
            <w:pPr>
              <w:spacing w:after="0"/>
              <w:rPr>
                <w:sz w:val="11"/>
                <w:szCs w:val="11"/>
                <w:color w:val="auto"/>
              </w:rPr>
            </w:pPr>
          </w:p>
        </w:tc>
        <w:tc>
          <w:tcPr>
            <w:tcW w:w="720" w:type="dxa"/>
            <w:vAlign w:val="bottom"/>
            <w:shd w:val="clear" w:color="auto" w:fill="E5E5E5"/>
          </w:tcPr>
          <w:p>
            <w:pPr>
              <w:spacing w:after="0"/>
              <w:rPr>
                <w:sz w:val="11"/>
                <w:szCs w:val="11"/>
                <w:color w:val="auto"/>
              </w:rPr>
            </w:pPr>
          </w:p>
        </w:tc>
      </w:tr>
      <w:tr>
        <w:trPr>
          <w:trHeight w:val="157"/>
        </w:trPr>
        <w:tc>
          <w:tcPr>
            <w:tcW w:w="1460" w:type="dxa"/>
            <w:vAlign w:val="bottom"/>
            <w:tcBorders>
              <w:bottom w:val="single" w:sz="8" w:color="E5E5E5"/>
            </w:tcBorders>
            <w:shd w:val="clear" w:color="auto" w:fill="E5E5E5"/>
          </w:tcPr>
          <w:p>
            <w:pPr>
              <w:spacing w:after="0"/>
              <w:rPr>
                <w:sz w:val="13"/>
                <w:szCs w:val="13"/>
                <w:color w:val="auto"/>
              </w:rPr>
            </w:pPr>
          </w:p>
        </w:tc>
        <w:tc>
          <w:tcPr>
            <w:tcW w:w="540" w:type="dxa"/>
            <w:vAlign w:val="bottom"/>
            <w:tcBorders>
              <w:bottom w:val="single" w:sz="8" w:color="auto"/>
            </w:tcBorders>
            <w:shd w:val="clear" w:color="auto" w:fill="E5E5E5"/>
          </w:tcPr>
          <w:p>
            <w:pPr>
              <w:spacing w:after="0"/>
              <w:rPr>
                <w:sz w:val="13"/>
                <w:szCs w:val="13"/>
                <w:color w:val="auto"/>
              </w:rPr>
            </w:pPr>
          </w:p>
        </w:tc>
        <w:tc>
          <w:tcPr>
            <w:tcW w:w="1280" w:type="dxa"/>
            <w:vAlign w:val="bottom"/>
            <w:tcBorders>
              <w:bottom w:val="single" w:sz="8" w:color="auto"/>
            </w:tcBorders>
            <w:gridSpan w:val="2"/>
            <w:shd w:val="clear" w:color="auto" w:fill="E5E5E5"/>
          </w:tcPr>
          <w:p>
            <w:pPr>
              <w:ind w:left="40"/>
              <w:spacing w:after="0"/>
              <w:rPr>
                <w:sz w:val="20"/>
                <w:szCs w:val="20"/>
                <w:color w:val="auto"/>
              </w:rPr>
            </w:pPr>
            <w:r>
              <w:rPr>
                <w:rFonts w:ascii="Arial" w:cs="Arial" w:eastAsia="Arial" w:hAnsi="Arial"/>
                <w:sz w:val="13"/>
                <w:szCs w:val="13"/>
                <w:color w:val="auto"/>
              </w:rPr>
              <w:t>Bonus</w:t>
            </w: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0</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600,000</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1,200,000</w:t>
            </w:r>
          </w:p>
        </w:tc>
        <w:tc>
          <w:tcPr>
            <w:tcW w:w="120" w:type="dxa"/>
            <w:vAlign w:val="bottom"/>
            <w:tcBorders>
              <w:bottom w:val="single" w:sz="8" w:color="auto"/>
            </w:tcBorders>
            <w:shd w:val="clear" w:color="auto" w:fill="E5E5E5"/>
          </w:tcPr>
          <w:p>
            <w:pPr>
              <w:spacing w:after="0"/>
              <w:rPr>
                <w:sz w:val="13"/>
                <w:szCs w:val="13"/>
                <w:color w:val="auto"/>
              </w:rPr>
            </w:pP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gridSpan w:val="2"/>
            <w:shd w:val="clear" w:color="auto" w:fill="E5E5E5"/>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r>
      <w:tr>
        <w:trPr>
          <w:trHeight w:val="134"/>
        </w:trPr>
        <w:tc>
          <w:tcPr>
            <w:tcW w:w="1460" w:type="dxa"/>
            <w:vAlign w:val="bottom"/>
            <w:shd w:val="clear" w:color="auto" w:fill="E5E5E5"/>
          </w:tcPr>
          <w:p>
            <w:pPr>
              <w:spacing w:after="0"/>
              <w:rPr>
                <w:sz w:val="11"/>
                <w:szCs w:val="11"/>
                <w:color w:val="auto"/>
              </w:rPr>
            </w:pPr>
          </w:p>
        </w:tc>
        <w:tc>
          <w:tcPr>
            <w:tcW w:w="540" w:type="dxa"/>
            <w:vAlign w:val="bottom"/>
            <w:shd w:val="clear" w:color="auto" w:fill="E5E5E5"/>
          </w:tcPr>
          <w:p>
            <w:pPr>
              <w:spacing w:after="0"/>
              <w:rPr>
                <w:sz w:val="11"/>
                <w:szCs w:val="11"/>
                <w:color w:val="auto"/>
              </w:rPr>
            </w:pPr>
          </w:p>
        </w:tc>
        <w:tc>
          <w:tcPr>
            <w:tcW w:w="40" w:type="dxa"/>
            <w:vAlign w:val="bottom"/>
            <w:shd w:val="clear" w:color="auto" w:fill="E5E5E5"/>
          </w:tcPr>
          <w:p>
            <w:pPr>
              <w:spacing w:after="0"/>
              <w:rPr>
                <w:sz w:val="11"/>
                <w:szCs w:val="11"/>
                <w:color w:val="auto"/>
              </w:rPr>
            </w:pPr>
          </w:p>
        </w:tc>
        <w:tc>
          <w:tcPr>
            <w:tcW w:w="1240" w:type="dxa"/>
            <w:vAlign w:val="bottom"/>
            <w:shd w:val="clear" w:color="auto" w:fill="E5E5E5"/>
          </w:tcPr>
          <w:p>
            <w:pPr>
              <w:spacing w:after="0" w:line="134" w:lineRule="exact"/>
              <w:rPr>
                <w:sz w:val="20"/>
                <w:szCs w:val="20"/>
                <w:color w:val="auto"/>
              </w:rPr>
            </w:pPr>
            <w:r>
              <w:rPr>
                <w:rFonts w:ascii="Arial" w:cs="Arial" w:eastAsia="Arial" w:hAnsi="Arial"/>
                <w:sz w:val="13"/>
                <w:szCs w:val="13"/>
                <w:color w:val="auto"/>
              </w:rPr>
              <w:t>WTM Performance</w:t>
            </w:r>
          </w:p>
        </w:tc>
        <w:tc>
          <w:tcPr>
            <w:tcW w:w="940" w:type="dxa"/>
            <w:vAlign w:val="bottom"/>
            <w:shd w:val="clear" w:color="auto" w:fill="E5E5E5"/>
          </w:tcPr>
          <w:p>
            <w:pPr>
              <w:spacing w:after="0"/>
              <w:rPr>
                <w:sz w:val="11"/>
                <w:szCs w:val="11"/>
                <w:color w:val="auto"/>
              </w:rPr>
            </w:pPr>
          </w:p>
        </w:tc>
        <w:tc>
          <w:tcPr>
            <w:tcW w:w="800" w:type="dxa"/>
            <w:vAlign w:val="bottom"/>
            <w:shd w:val="clear" w:color="auto" w:fill="E5E5E5"/>
          </w:tcPr>
          <w:p>
            <w:pPr>
              <w:spacing w:after="0"/>
              <w:rPr>
                <w:sz w:val="11"/>
                <w:szCs w:val="11"/>
                <w:color w:val="auto"/>
              </w:rPr>
            </w:pPr>
          </w:p>
        </w:tc>
        <w:tc>
          <w:tcPr>
            <w:tcW w:w="74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780" w:type="dxa"/>
            <w:vAlign w:val="bottom"/>
            <w:shd w:val="clear" w:color="auto" w:fill="E5E5E5"/>
          </w:tcPr>
          <w:p>
            <w:pPr>
              <w:spacing w:after="0"/>
              <w:rPr>
                <w:sz w:val="11"/>
                <w:szCs w:val="11"/>
                <w:color w:val="auto"/>
              </w:rPr>
            </w:pPr>
          </w:p>
        </w:tc>
        <w:tc>
          <w:tcPr>
            <w:tcW w:w="800" w:type="dxa"/>
            <w:vAlign w:val="bottom"/>
            <w:shd w:val="clear" w:color="auto" w:fill="E5E5E5"/>
          </w:tcPr>
          <w:p>
            <w:pPr>
              <w:spacing w:after="0"/>
              <w:rPr>
                <w:sz w:val="11"/>
                <w:szCs w:val="11"/>
                <w:color w:val="auto"/>
              </w:rPr>
            </w:pPr>
          </w:p>
        </w:tc>
        <w:tc>
          <w:tcPr>
            <w:tcW w:w="660" w:type="dxa"/>
            <w:vAlign w:val="bottom"/>
            <w:shd w:val="clear" w:color="auto" w:fill="E5E5E5"/>
          </w:tcPr>
          <w:p>
            <w:pPr>
              <w:spacing w:after="0"/>
              <w:rPr>
                <w:sz w:val="11"/>
                <w:szCs w:val="11"/>
                <w:color w:val="auto"/>
              </w:rPr>
            </w:pPr>
          </w:p>
        </w:tc>
        <w:tc>
          <w:tcPr>
            <w:tcW w:w="60" w:type="dxa"/>
            <w:vAlign w:val="bottom"/>
            <w:shd w:val="clear" w:color="auto" w:fill="E5E5E5"/>
          </w:tcPr>
          <w:p>
            <w:pPr>
              <w:spacing w:after="0"/>
              <w:rPr>
                <w:sz w:val="11"/>
                <w:szCs w:val="11"/>
                <w:color w:val="auto"/>
              </w:rPr>
            </w:pPr>
          </w:p>
        </w:tc>
        <w:tc>
          <w:tcPr>
            <w:tcW w:w="780" w:type="dxa"/>
            <w:vAlign w:val="bottom"/>
            <w:shd w:val="clear" w:color="auto" w:fill="E5E5E5"/>
          </w:tcPr>
          <w:p>
            <w:pPr>
              <w:spacing w:after="0"/>
              <w:rPr>
                <w:sz w:val="11"/>
                <w:szCs w:val="11"/>
                <w:color w:val="auto"/>
              </w:rPr>
            </w:pPr>
          </w:p>
        </w:tc>
        <w:tc>
          <w:tcPr>
            <w:tcW w:w="860" w:type="dxa"/>
            <w:vAlign w:val="bottom"/>
            <w:shd w:val="clear" w:color="auto" w:fill="E5E5E5"/>
          </w:tcPr>
          <w:p>
            <w:pPr>
              <w:spacing w:after="0"/>
              <w:rPr>
                <w:sz w:val="11"/>
                <w:szCs w:val="11"/>
                <w:color w:val="auto"/>
              </w:rPr>
            </w:pPr>
          </w:p>
        </w:tc>
        <w:tc>
          <w:tcPr>
            <w:tcW w:w="700" w:type="dxa"/>
            <w:vAlign w:val="bottom"/>
            <w:shd w:val="clear" w:color="auto" w:fill="E5E5E5"/>
          </w:tcPr>
          <w:p>
            <w:pPr>
              <w:spacing w:after="0"/>
              <w:rPr>
                <w:sz w:val="11"/>
                <w:szCs w:val="11"/>
                <w:color w:val="auto"/>
              </w:rPr>
            </w:pPr>
          </w:p>
        </w:tc>
        <w:tc>
          <w:tcPr>
            <w:tcW w:w="720" w:type="dxa"/>
            <w:vAlign w:val="bottom"/>
            <w:shd w:val="clear" w:color="auto" w:fill="E5E5E5"/>
          </w:tcPr>
          <w:p>
            <w:pPr>
              <w:spacing w:after="0"/>
              <w:rPr>
                <w:sz w:val="11"/>
                <w:szCs w:val="11"/>
                <w:color w:val="auto"/>
              </w:rPr>
            </w:pPr>
          </w:p>
        </w:tc>
      </w:tr>
      <w:tr>
        <w:trPr>
          <w:trHeight w:val="157"/>
        </w:trPr>
        <w:tc>
          <w:tcPr>
            <w:tcW w:w="1460" w:type="dxa"/>
            <w:vAlign w:val="bottom"/>
            <w:tcBorders>
              <w:bottom w:val="single" w:sz="8" w:color="E5E5E5"/>
            </w:tcBorders>
            <w:shd w:val="clear" w:color="auto" w:fill="E5E5E5"/>
          </w:tcPr>
          <w:p>
            <w:pPr>
              <w:spacing w:after="0"/>
              <w:rPr>
                <w:sz w:val="13"/>
                <w:szCs w:val="13"/>
                <w:color w:val="auto"/>
              </w:rPr>
            </w:pPr>
          </w:p>
        </w:tc>
        <w:tc>
          <w:tcPr>
            <w:tcW w:w="580" w:type="dxa"/>
            <w:vAlign w:val="bottom"/>
            <w:tcBorders>
              <w:bottom w:val="single" w:sz="8" w:color="auto"/>
            </w:tcBorders>
            <w:gridSpan w:val="2"/>
            <w:shd w:val="clear" w:color="auto" w:fill="E5E5E5"/>
          </w:tcPr>
          <w:p>
            <w:pPr>
              <w:ind w:left="80"/>
              <w:spacing w:after="0"/>
              <w:rPr>
                <w:sz w:val="20"/>
                <w:szCs w:val="20"/>
                <w:color w:val="auto"/>
              </w:rPr>
            </w:pPr>
            <w:r>
              <w:rPr>
                <w:rFonts w:ascii="Arial" w:cs="Arial" w:eastAsia="Arial" w:hAnsi="Arial"/>
                <w:sz w:val="13"/>
                <w:szCs w:val="13"/>
                <w:color w:val="auto"/>
              </w:rPr>
              <w:t>2/26/25</w:t>
            </w:r>
          </w:p>
        </w:tc>
        <w:tc>
          <w:tcPr>
            <w:tcW w:w="1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3"/>
                <w:szCs w:val="13"/>
                <w:color w:val="auto"/>
              </w:rPr>
              <w:t>Shares</w:t>
            </w: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gridSpan w:val="2"/>
            <w:shd w:val="clear" w:color="auto" w:fill="E5E5E5"/>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0</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1,625</w:t>
            </w:r>
          </w:p>
        </w:tc>
        <w:tc>
          <w:tcPr>
            <w:tcW w:w="720" w:type="dxa"/>
            <w:vAlign w:val="bottom"/>
            <w:tcBorders>
              <w:bottom w:val="single" w:sz="8" w:color="auto"/>
            </w:tcBorders>
            <w:gridSpan w:val="2"/>
            <w:shd w:val="clear" w:color="auto" w:fill="E5E5E5"/>
          </w:tcPr>
          <w:p>
            <w:pPr>
              <w:jc w:val="right"/>
              <w:ind w:right="60"/>
              <w:spacing w:after="0"/>
              <w:rPr>
                <w:sz w:val="20"/>
                <w:szCs w:val="20"/>
                <w:color w:val="auto"/>
              </w:rPr>
            </w:pPr>
            <w:r>
              <w:rPr>
                <w:rFonts w:ascii="Arial" w:cs="Arial" w:eastAsia="Arial" w:hAnsi="Arial"/>
                <w:sz w:val="13"/>
                <w:szCs w:val="13"/>
                <w:color w:val="auto"/>
              </w:rPr>
              <w:t>3,250</w:t>
            </w: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2,977,309</w:t>
            </w:r>
          </w:p>
        </w:tc>
      </w:tr>
      <w:tr>
        <w:trPr>
          <w:trHeight w:val="134"/>
        </w:trPr>
        <w:tc>
          <w:tcPr>
            <w:tcW w:w="1460" w:type="dxa"/>
            <w:vAlign w:val="bottom"/>
            <w:shd w:val="clear" w:color="auto" w:fill="E5E5E5"/>
          </w:tcPr>
          <w:p>
            <w:pPr>
              <w:spacing w:after="0"/>
              <w:rPr>
                <w:sz w:val="11"/>
                <w:szCs w:val="11"/>
                <w:color w:val="auto"/>
              </w:rPr>
            </w:pPr>
          </w:p>
        </w:tc>
        <w:tc>
          <w:tcPr>
            <w:tcW w:w="540" w:type="dxa"/>
            <w:vAlign w:val="bottom"/>
            <w:shd w:val="clear" w:color="auto" w:fill="E5E5E5"/>
          </w:tcPr>
          <w:p>
            <w:pPr>
              <w:spacing w:after="0"/>
              <w:rPr>
                <w:sz w:val="11"/>
                <w:szCs w:val="11"/>
                <w:color w:val="auto"/>
              </w:rPr>
            </w:pPr>
          </w:p>
        </w:tc>
        <w:tc>
          <w:tcPr>
            <w:tcW w:w="40" w:type="dxa"/>
            <w:vAlign w:val="bottom"/>
            <w:shd w:val="clear" w:color="auto" w:fill="E5E5E5"/>
          </w:tcPr>
          <w:p>
            <w:pPr>
              <w:spacing w:after="0"/>
              <w:rPr>
                <w:sz w:val="11"/>
                <w:szCs w:val="11"/>
                <w:color w:val="auto"/>
              </w:rPr>
            </w:pPr>
          </w:p>
        </w:tc>
        <w:tc>
          <w:tcPr>
            <w:tcW w:w="1240" w:type="dxa"/>
            <w:vAlign w:val="bottom"/>
            <w:shd w:val="clear" w:color="auto" w:fill="E5E5E5"/>
          </w:tcPr>
          <w:p>
            <w:pPr>
              <w:spacing w:after="0" w:line="134" w:lineRule="exact"/>
              <w:rPr>
                <w:sz w:val="20"/>
                <w:szCs w:val="20"/>
                <w:color w:val="auto"/>
              </w:rPr>
            </w:pPr>
            <w:r>
              <w:rPr>
                <w:rFonts w:ascii="Arial" w:cs="Arial" w:eastAsia="Arial" w:hAnsi="Arial"/>
                <w:sz w:val="13"/>
                <w:szCs w:val="13"/>
                <w:color w:val="auto"/>
              </w:rPr>
              <w:t>WTM Restricted</w:t>
            </w:r>
          </w:p>
        </w:tc>
        <w:tc>
          <w:tcPr>
            <w:tcW w:w="940" w:type="dxa"/>
            <w:vAlign w:val="bottom"/>
            <w:shd w:val="clear" w:color="auto" w:fill="E5E5E5"/>
          </w:tcPr>
          <w:p>
            <w:pPr>
              <w:spacing w:after="0"/>
              <w:rPr>
                <w:sz w:val="11"/>
                <w:szCs w:val="11"/>
                <w:color w:val="auto"/>
              </w:rPr>
            </w:pPr>
          </w:p>
        </w:tc>
        <w:tc>
          <w:tcPr>
            <w:tcW w:w="800" w:type="dxa"/>
            <w:vAlign w:val="bottom"/>
            <w:shd w:val="clear" w:color="auto" w:fill="E5E5E5"/>
          </w:tcPr>
          <w:p>
            <w:pPr>
              <w:spacing w:after="0"/>
              <w:rPr>
                <w:sz w:val="11"/>
                <w:szCs w:val="11"/>
                <w:color w:val="auto"/>
              </w:rPr>
            </w:pPr>
          </w:p>
        </w:tc>
        <w:tc>
          <w:tcPr>
            <w:tcW w:w="74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780" w:type="dxa"/>
            <w:vAlign w:val="bottom"/>
            <w:shd w:val="clear" w:color="auto" w:fill="E5E5E5"/>
          </w:tcPr>
          <w:p>
            <w:pPr>
              <w:spacing w:after="0"/>
              <w:rPr>
                <w:sz w:val="11"/>
                <w:szCs w:val="11"/>
                <w:color w:val="auto"/>
              </w:rPr>
            </w:pPr>
          </w:p>
        </w:tc>
        <w:tc>
          <w:tcPr>
            <w:tcW w:w="800" w:type="dxa"/>
            <w:vAlign w:val="bottom"/>
            <w:shd w:val="clear" w:color="auto" w:fill="E5E5E5"/>
          </w:tcPr>
          <w:p>
            <w:pPr>
              <w:spacing w:after="0"/>
              <w:rPr>
                <w:sz w:val="11"/>
                <w:szCs w:val="11"/>
                <w:color w:val="auto"/>
              </w:rPr>
            </w:pPr>
          </w:p>
        </w:tc>
        <w:tc>
          <w:tcPr>
            <w:tcW w:w="660" w:type="dxa"/>
            <w:vAlign w:val="bottom"/>
            <w:shd w:val="clear" w:color="auto" w:fill="E5E5E5"/>
          </w:tcPr>
          <w:p>
            <w:pPr>
              <w:spacing w:after="0"/>
              <w:rPr>
                <w:sz w:val="11"/>
                <w:szCs w:val="11"/>
                <w:color w:val="auto"/>
              </w:rPr>
            </w:pPr>
          </w:p>
        </w:tc>
        <w:tc>
          <w:tcPr>
            <w:tcW w:w="60" w:type="dxa"/>
            <w:vAlign w:val="bottom"/>
            <w:shd w:val="clear" w:color="auto" w:fill="E5E5E5"/>
          </w:tcPr>
          <w:p>
            <w:pPr>
              <w:spacing w:after="0"/>
              <w:rPr>
                <w:sz w:val="11"/>
                <w:szCs w:val="11"/>
                <w:color w:val="auto"/>
              </w:rPr>
            </w:pPr>
          </w:p>
        </w:tc>
        <w:tc>
          <w:tcPr>
            <w:tcW w:w="780" w:type="dxa"/>
            <w:vAlign w:val="bottom"/>
            <w:shd w:val="clear" w:color="auto" w:fill="E5E5E5"/>
          </w:tcPr>
          <w:p>
            <w:pPr>
              <w:spacing w:after="0"/>
              <w:rPr>
                <w:sz w:val="11"/>
                <w:szCs w:val="11"/>
                <w:color w:val="auto"/>
              </w:rPr>
            </w:pPr>
          </w:p>
        </w:tc>
        <w:tc>
          <w:tcPr>
            <w:tcW w:w="860" w:type="dxa"/>
            <w:vAlign w:val="bottom"/>
            <w:shd w:val="clear" w:color="auto" w:fill="E5E5E5"/>
          </w:tcPr>
          <w:p>
            <w:pPr>
              <w:spacing w:after="0"/>
              <w:rPr>
                <w:sz w:val="11"/>
                <w:szCs w:val="11"/>
                <w:color w:val="auto"/>
              </w:rPr>
            </w:pPr>
          </w:p>
        </w:tc>
        <w:tc>
          <w:tcPr>
            <w:tcW w:w="700" w:type="dxa"/>
            <w:vAlign w:val="bottom"/>
            <w:shd w:val="clear" w:color="auto" w:fill="E5E5E5"/>
          </w:tcPr>
          <w:p>
            <w:pPr>
              <w:spacing w:after="0"/>
              <w:rPr>
                <w:sz w:val="11"/>
                <w:szCs w:val="11"/>
                <w:color w:val="auto"/>
              </w:rPr>
            </w:pPr>
          </w:p>
        </w:tc>
        <w:tc>
          <w:tcPr>
            <w:tcW w:w="720" w:type="dxa"/>
            <w:vAlign w:val="bottom"/>
            <w:shd w:val="clear" w:color="auto" w:fill="E5E5E5"/>
          </w:tcPr>
          <w:p>
            <w:pPr>
              <w:spacing w:after="0"/>
              <w:rPr>
                <w:sz w:val="11"/>
                <w:szCs w:val="11"/>
                <w:color w:val="auto"/>
              </w:rPr>
            </w:pPr>
          </w:p>
        </w:tc>
      </w:tr>
      <w:tr>
        <w:trPr>
          <w:trHeight w:val="157"/>
        </w:trPr>
        <w:tc>
          <w:tcPr>
            <w:tcW w:w="1460" w:type="dxa"/>
            <w:vAlign w:val="bottom"/>
            <w:tcBorders>
              <w:bottom w:val="single" w:sz="8" w:color="auto"/>
            </w:tcBorders>
            <w:shd w:val="clear" w:color="auto" w:fill="E5E5E5"/>
          </w:tcPr>
          <w:p>
            <w:pPr>
              <w:spacing w:after="0"/>
              <w:rPr>
                <w:sz w:val="13"/>
                <w:szCs w:val="13"/>
                <w:color w:val="auto"/>
              </w:rPr>
            </w:pPr>
          </w:p>
        </w:tc>
        <w:tc>
          <w:tcPr>
            <w:tcW w:w="580" w:type="dxa"/>
            <w:vAlign w:val="bottom"/>
            <w:tcBorders>
              <w:bottom w:val="single" w:sz="8" w:color="auto"/>
            </w:tcBorders>
            <w:gridSpan w:val="2"/>
            <w:shd w:val="clear" w:color="auto" w:fill="E5E5E5"/>
          </w:tcPr>
          <w:p>
            <w:pPr>
              <w:ind w:left="80"/>
              <w:spacing w:after="0"/>
              <w:rPr>
                <w:sz w:val="20"/>
                <w:szCs w:val="20"/>
                <w:color w:val="auto"/>
              </w:rPr>
            </w:pPr>
            <w:r>
              <w:rPr>
                <w:rFonts w:ascii="Arial" w:cs="Arial" w:eastAsia="Arial" w:hAnsi="Arial"/>
                <w:sz w:val="13"/>
                <w:szCs w:val="13"/>
                <w:color w:val="auto"/>
              </w:rPr>
              <w:t>2/26/25</w:t>
            </w:r>
          </w:p>
        </w:tc>
        <w:tc>
          <w:tcPr>
            <w:tcW w:w="1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3"/>
                <w:szCs w:val="13"/>
                <w:color w:val="auto"/>
              </w:rPr>
              <w:t>Shares</w:t>
            </w: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gridSpan w:val="2"/>
            <w:shd w:val="clear" w:color="auto" w:fill="E5E5E5"/>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gridSpan w:val="2"/>
            <w:shd w:val="clear" w:color="auto" w:fill="E5E5E5"/>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1,625</w:t>
            </w:r>
          </w:p>
        </w:tc>
        <w:tc>
          <w:tcPr>
            <w:tcW w:w="86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2,977,309</w:t>
            </w:r>
          </w:p>
        </w:tc>
      </w:tr>
      <w:tr>
        <w:trPr>
          <w:trHeight w:val="134"/>
        </w:trPr>
        <w:tc>
          <w:tcPr>
            <w:tcW w:w="1460" w:type="dxa"/>
            <w:vAlign w:val="bottom"/>
          </w:tcPr>
          <w:p>
            <w:pPr>
              <w:spacing w:after="0" w:line="134" w:lineRule="exact"/>
              <w:rPr>
                <w:sz w:val="20"/>
                <w:szCs w:val="20"/>
                <w:color w:val="auto"/>
              </w:rPr>
            </w:pPr>
            <w:r>
              <w:rPr>
                <w:rFonts w:ascii="Arial" w:cs="Arial" w:eastAsia="Arial" w:hAnsi="Arial"/>
                <w:sz w:val="13"/>
                <w:szCs w:val="13"/>
                <w:color w:val="auto"/>
              </w:rPr>
              <w:t>Liam P. Caffrey</w:t>
            </w:r>
          </w:p>
        </w:tc>
        <w:tc>
          <w:tcPr>
            <w:tcW w:w="540" w:type="dxa"/>
            <w:vAlign w:val="bottom"/>
          </w:tcPr>
          <w:p>
            <w:pPr>
              <w:spacing w:after="0"/>
              <w:rPr>
                <w:sz w:val="11"/>
                <w:szCs w:val="11"/>
                <w:color w:val="auto"/>
              </w:rPr>
            </w:pPr>
          </w:p>
        </w:tc>
        <w:tc>
          <w:tcPr>
            <w:tcW w:w="1280" w:type="dxa"/>
            <w:vAlign w:val="bottom"/>
            <w:gridSpan w:val="2"/>
          </w:tcPr>
          <w:p>
            <w:pPr>
              <w:ind w:left="40"/>
              <w:spacing w:after="0" w:line="134" w:lineRule="exact"/>
              <w:rPr>
                <w:sz w:val="20"/>
                <w:szCs w:val="20"/>
                <w:color w:val="auto"/>
              </w:rPr>
            </w:pPr>
            <w:r>
              <w:rPr>
                <w:rFonts w:ascii="Arial" w:cs="Arial" w:eastAsia="Arial" w:hAnsi="Arial"/>
                <w:sz w:val="13"/>
                <w:szCs w:val="13"/>
                <w:color w:val="auto"/>
              </w:rPr>
              <w:t>Annual Incentive</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7"/>
        </w:trPr>
        <w:tc>
          <w:tcPr>
            <w:tcW w:w="14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rPr>
              <w:t>Bonus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600,000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1,200,000</w:t>
            </w: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34"/>
        </w:trPr>
        <w:tc>
          <w:tcPr>
            <w:tcW w:w="1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2"/>
          </w:tcPr>
          <w:p>
            <w:pPr>
              <w:ind w:left="40"/>
              <w:spacing w:after="0" w:line="134" w:lineRule="exact"/>
              <w:rPr>
                <w:sz w:val="20"/>
                <w:szCs w:val="20"/>
                <w:color w:val="auto"/>
              </w:rPr>
            </w:pPr>
            <w:r>
              <w:rPr>
                <w:rFonts w:ascii="Arial" w:cs="Arial" w:eastAsia="Arial" w:hAnsi="Arial"/>
                <w:sz w:val="13"/>
                <w:szCs w:val="13"/>
                <w:color w:val="auto"/>
              </w:rPr>
              <w:t>WTM Performance</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7"/>
        </w:trPr>
        <w:tc>
          <w:tcPr>
            <w:tcW w:w="1460" w:type="dxa"/>
            <w:vAlign w:val="bottom"/>
          </w:tcPr>
          <w:p>
            <w:pPr>
              <w:spacing w:after="0"/>
              <w:rPr>
                <w:sz w:val="13"/>
                <w:szCs w:val="13"/>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2/26/25</w:t>
            </w:r>
          </w:p>
        </w:tc>
        <w:tc>
          <w:tcPr>
            <w:tcW w:w="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Shares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1,025</w:t>
            </w: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2,050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1,877,995</w:t>
            </w:r>
          </w:p>
        </w:tc>
      </w:tr>
      <w:tr>
        <w:trPr>
          <w:trHeight w:val="134"/>
        </w:trPr>
        <w:tc>
          <w:tcPr>
            <w:tcW w:w="1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2"/>
          </w:tcPr>
          <w:p>
            <w:pPr>
              <w:ind w:left="40"/>
              <w:spacing w:after="0" w:line="134" w:lineRule="exact"/>
              <w:rPr>
                <w:sz w:val="20"/>
                <w:szCs w:val="20"/>
                <w:color w:val="auto"/>
              </w:rPr>
            </w:pPr>
            <w:r>
              <w:rPr>
                <w:rFonts w:ascii="Arial" w:cs="Arial" w:eastAsia="Arial" w:hAnsi="Arial"/>
                <w:sz w:val="13"/>
                <w:szCs w:val="13"/>
                <w:color w:val="auto"/>
              </w:rPr>
              <w:t>WTM Restricted</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7"/>
        </w:trPr>
        <w:tc>
          <w:tcPr>
            <w:tcW w:w="14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2/26/25 Shares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1,025</w:t>
            </w:r>
          </w:p>
        </w:tc>
        <w:tc>
          <w:tcPr>
            <w:tcW w:w="86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1,877,995</w:t>
            </w:r>
          </w:p>
        </w:tc>
      </w:tr>
      <w:tr>
        <w:trPr>
          <w:trHeight w:val="134"/>
        </w:trPr>
        <w:tc>
          <w:tcPr>
            <w:tcW w:w="1460" w:type="dxa"/>
            <w:vAlign w:val="bottom"/>
            <w:shd w:val="clear" w:color="auto" w:fill="E7E6E6"/>
          </w:tcPr>
          <w:p>
            <w:pPr>
              <w:spacing w:after="0" w:line="134" w:lineRule="exact"/>
              <w:rPr>
                <w:sz w:val="20"/>
                <w:szCs w:val="20"/>
                <w:color w:val="auto"/>
              </w:rPr>
            </w:pPr>
            <w:r>
              <w:rPr>
                <w:rFonts w:ascii="Arial" w:cs="Arial" w:eastAsia="Arial" w:hAnsi="Arial"/>
                <w:sz w:val="13"/>
                <w:szCs w:val="13"/>
                <w:color w:val="auto"/>
              </w:rPr>
              <w:t>Giles E. Harrison</w:t>
            </w:r>
          </w:p>
        </w:tc>
        <w:tc>
          <w:tcPr>
            <w:tcW w:w="540" w:type="dxa"/>
            <w:vAlign w:val="bottom"/>
            <w:shd w:val="clear" w:color="auto" w:fill="E7E6E6"/>
          </w:tcPr>
          <w:p>
            <w:pPr>
              <w:spacing w:after="0"/>
              <w:rPr>
                <w:sz w:val="11"/>
                <w:szCs w:val="11"/>
                <w:color w:val="auto"/>
              </w:rPr>
            </w:pPr>
          </w:p>
        </w:tc>
        <w:tc>
          <w:tcPr>
            <w:tcW w:w="1280" w:type="dxa"/>
            <w:vAlign w:val="bottom"/>
            <w:gridSpan w:val="2"/>
            <w:shd w:val="clear" w:color="auto" w:fill="E7E6E6"/>
          </w:tcPr>
          <w:p>
            <w:pPr>
              <w:ind w:left="40"/>
              <w:spacing w:after="0" w:line="134" w:lineRule="exact"/>
              <w:rPr>
                <w:sz w:val="20"/>
                <w:szCs w:val="20"/>
                <w:color w:val="auto"/>
              </w:rPr>
            </w:pPr>
            <w:r>
              <w:rPr>
                <w:rFonts w:ascii="Arial" w:cs="Arial" w:eastAsia="Arial" w:hAnsi="Arial"/>
                <w:sz w:val="13"/>
                <w:szCs w:val="13"/>
                <w:color w:val="auto"/>
              </w:rPr>
              <w:t>Annual Incentive</w:t>
            </w:r>
          </w:p>
        </w:tc>
        <w:tc>
          <w:tcPr>
            <w:tcW w:w="940" w:type="dxa"/>
            <w:vAlign w:val="bottom"/>
            <w:shd w:val="clear" w:color="auto" w:fill="E7E6E6"/>
          </w:tcPr>
          <w:p>
            <w:pPr>
              <w:spacing w:after="0"/>
              <w:rPr>
                <w:sz w:val="11"/>
                <w:szCs w:val="11"/>
                <w:color w:val="auto"/>
              </w:rPr>
            </w:pPr>
          </w:p>
        </w:tc>
        <w:tc>
          <w:tcPr>
            <w:tcW w:w="800" w:type="dxa"/>
            <w:vAlign w:val="bottom"/>
            <w:shd w:val="clear" w:color="auto" w:fill="E7E6E6"/>
          </w:tcPr>
          <w:p>
            <w:pPr>
              <w:spacing w:after="0"/>
              <w:rPr>
                <w:sz w:val="11"/>
                <w:szCs w:val="11"/>
                <w:color w:val="auto"/>
              </w:rPr>
            </w:pPr>
          </w:p>
        </w:tc>
        <w:tc>
          <w:tcPr>
            <w:tcW w:w="740" w:type="dxa"/>
            <w:vAlign w:val="bottom"/>
            <w:shd w:val="clear" w:color="auto" w:fill="E7E6E6"/>
          </w:tcPr>
          <w:p>
            <w:pPr>
              <w:spacing w:after="0"/>
              <w:rPr>
                <w:sz w:val="11"/>
                <w:szCs w:val="11"/>
                <w:color w:val="auto"/>
              </w:rPr>
            </w:pPr>
          </w:p>
        </w:tc>
        <w:tc>
          <w:tcPr>
            <w:tcW w:w="120" w:type="dxa"/>
            <w:vAlign w:val="bottom"/>
            <w:shd w:val="clear" w:color="auto" w:fill="E7E6E6"/>
          </w:tcPr>
          <w:p>
            <w:pPr>
              <w:spacing w:after="0"/>
              <w:rPr>
                <w:sz w:val="11"/>
                <w:szCs w:val="11"/>
                <w:color w:val="auto"/>
              </w:rPr>
            </w:pPr>
          </w:p>
        </w:tc>
        <w:tc>
          <w:tcPr>
            <w:tcW w:w="780" w:type="dxa"/>
            <w:vAlign w:val="bottom"/>
            <w:shd w:val="clear" w:color="auto" w:fill="E7E6E6"/>
          </w:tcPr>
          <w:p>
            <w:pPr>
              <w:spacing w:after="0"/>
              <w:rPr>
                <w:sz w:val="11"/>
                <w:szCs w:val="11"/>
                <w:color w:val="auto"/>
              </w:rPr>
            </w:pPr>
          </w:p>
        </w:tc>
        <w:tc>
          <w:tcPr>
            <w:tcW w:w="800" w:type="dxa"/>
            <w:vAlign w:val="bottom"/>
            <w:shd w:val="clear" w:color="auto" w:fill="E7E6E6"/>
          </w:tcPr>
          <w:p>
            <w:pPr>
              <w:spacing w:after="0"/>
              <w:rPr>
                <w:sz w:val="11"/>
                <w:szCs w:val="11"/>
                <w:color w:val="auto"/>
              </w:rPr>
            </w:pPr>
          </w:p>
        </w:tc>
        <w:tc>
          <w:tcPr>
            <w:tcW w:w="660" w:type="dxa"/>
            <w:vAlign w:val="bottom"/>
            <w:shd w:val="clear" w:color="auto" w:fill="E7E6E6"/>
          </w:tcPr>
          <w:p>
            <w:pPr>
              <w:spacing w:after="0"/>
              <w:rPr>
                <w:sz w:val="11"/>
                <w:szCs w:val="11"/>
                <w:color w:val="auto"/>
              </w:rPr>
            </w:pPr>
          </w:p>
        </w:tc>
        <w:tc>
          <w:tcPr>
            <w:tcW w:w="60" w:type="dxa"/>
            <w:vAlign w:val="bottom"/>
            <w:shd w:val="clear" w:color="auto" w:fill="E7E6E6"/>
          </w:tcPr>
          <w:p>
            <w:pPr>
              <w:spacing w:after="0"/>
              <w:rPr>
                <w:sz w:val="11"/>
                <w:szCs w:val="11"/>
                <w:color w:val="auto"/>
              </w:rPr>
            </w:pPr>
          </w:p>
        </w:tc>
        <w:tc>
          <w:tcPr>
            <w:tcW w:w="780" w:type="dxa"/>
            <w:vAlign w:val="bottom"/>
            <w:shd w:val="clear" w:color="auto" w:fill="E7E6E6"/>
          </w:tcPr>
          <w:p>
            <w:pPr>
              <w:spacing w:after="0"/>
              <w:rPr>
                <w:sz w:val="11"/>
                <w:szCs w:val="11"/>
                <w:color w:val="auto"/>
              </w:rPr>
            </w:pPr>
          </w:p>
        </w:tc>
        <w:tc>
          <w:tcPr>
            <w:tcW w:w="860" w:type="dxa"/>
            <w:vAlign w:val="bottom"/>
            <w:shd w:val="clear" w:color="auto" w:fill="E7E6E6"/>
          </w:tcPr>
          <w:p>
            <w:pPr>
              <w:spacing w:after="0"/>
              <w:rPr>
                <w:sz w:val="11"/>
                <w:szCs w:val="11"/>
                <w:color w:val="auto"/>
              </w:rPr>
            </w:pPr>
          </w:p>
        </w:tc>
        <w:tc>
          <w:tcPr>
            <w:tcW w:w="700" w:type="dxa"/>
            <w:vAlign w:val="bottom"/>
            <w:shd w:val="clear" w:color="auto" w:fill="E7E6E6"/>
          </w:tcPr>
          <w:p>
            <w:pPr>
              <w:spacing w:after="0"/>
              <w:rPr>
                <w:sz w:val="11"/>
                <w:szCs w:val="11"/>
                <w:color w:val="auto"/>
              </w:rPr>
            </w:pPr>
          </w:p>
        </w:tc>
        <w:tc>
          <w:tcPr>
            <w:tcW w:w="720" w:type="dxa"/>
            <w:vAlign w:val="bottom"/>
            <w:shd w:val="clear" w:color="auto" w:fill="E7E6E6"/>
          </w:tcPr>
          <w:p>
            <w:pPr>
              <w:spacing w:after="0"/>
              <w:rPr>
                <w:sz w:val="11"/>
                <w:szCs w:val="11"/>
                <w:color w:val="auto"/>
              </w:rPr>
            </w:pPr>
          </w:p>
        </w:tc>
      </w:tr>
      <w:tr>
        <w:trPr>
          <w:trHeight w:val="157"/>
        </w:trPr>
        <w:tc>
          <w:tcPr>
            <w:tcW w:w="1460" w:type="dxa"/>
            <w:vAlign w:val="bottom"/>
            <w:tcBorders>
              <w:bottom w:val="single" w:sz="8" w:color="E7E6E6"/>
            </w:tcBorders>
            <w:shd w:val="clear" w:color="auto" w:fill="E7E6E6"/>
          </w:tcPr>
          <w:p>
            <w:pPr>
              <w:spacing w:after="0"/>
              <w:rPr>
                <w:sz w:val="13"/>
                <w:szCs w:val="13"/>
                <w:color w:val="auto"/>
              </w:rPr>
            </w:pPr>
          </w:p>
        </w:tc>
        <w:tc>
          <w:tcPr>
            <w:tcW w:w="540" w:type="dxa"/>
            <w:vAlign w:val="bottom"/>
            <w:tcBorders>
              <w:bottom w:val="single" w:sz="8" w:color="auto"/>
            </w:tcBorders>
            <w:shd w:val="clear" w:color="auto" w:fill="E7E6E6"/>
          </w:tcPr>
          <w:p>
            <w:pPr>
              <w:spacing w:after="0"/>
              <w:rPr>
                <w:sz w:val="13"/>
                <w:szCs w:val="13"/>
                <w:color w:val="auto"/>
              </w:rPr>
            </w:pPr>
          </w:p>
        </w:tc>
        <w:tc>
          <w:tcPr>
            <w:tcW w:w="1280" w:type="dxa"/>
            <w:vAlign w:val="bottom"/>
            <w:tcBorders>
              <w:bottom w:val="single" w:sz="8" w:color="auto"/>
            </w:tcBorders>
            <w:gridSpan w:val="2"/>
            <w:shd w:val="clear" w:color="auto" w:fill="E7E6E6"/>
          </w:tcPr>
          <w:p>
            <w:pPr>
              <w:ind w:left="40"/>
              <w:spacing w:after="0"/>
              <w:rPr>
                <w:sz w:val="20"/>
                <w:szCs w:val="20"/>
                <w:color w:val="auto"/>
              </w:rPr>
            </w:pPr>
            <w:r>
              <w:rPr>
                <w:rFonts w:ascii="Arial" w:cs="Arial" w:eastAsia="Arial" w:hAnsi="Arial"/>
                <w:sz w:val="13"/>
                <w:szCs w:val="13"/>
                <w:color w:val="auto"/>
              </w:rPr>
              <w:t>Bonus</w:t>
            </w:r>
          </w:p>
        </w:tc>
        <w:tc>
          <w:tcPr>
            <w:tcW w:w="94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0</w:t>
            </w:r>
          </w:p>
        </w:tc>
        <w:tc>
          <w:tcPr>
            <w:tcW w:w="80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600,000</w:t>
            </w:r>
          </w:p>
        </w:tc>
        <w:tc>
          <w:tcPr>
            <w:tcW w:w="74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1,200,000</w:t>
            </w:r>
          </w:p>
        </w:tc>
        <w:tc>
          <w:tcPr>
            <w:tcW w:w="120" w:type="dxa"/>
            <w:vAlign w:val="bottom"/>
            <w:tcBorders>
              <w:bottom w:val="single" w:sz="8" w:color="auto"/>
            </w:tcBorders>
            <w:shd w:val="clear" w:color="auto" w:fill="E7E6E6"/>
          </w:tcPr>
          <w:p>
            <w:pPr>
              <w:spacing w:after="0"/>
              <w:rPr>
                <w:sz w:val="13"/>
                <w:szCs w:val="13"/>
                <w:color w:val="auto"/>
              </w:rPr>
            </w:pPr>
          </w:p>
        </w:tc>
        <w:tc>
          <w:tcPr>
            <w:tcW w:w="78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gridSpan w:val="2"/>
            <w:shd w:val="clear" w:color="auto" w:fill="E7E6E6"/>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E7E6E6"/>
          </w:tcPr>
          <w:p>
            <w:pPr>
              <w:jc w:val="right"/>
              <w:ind w:right="74"/>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w:t>
            </w:r>
          </w:p>
        </w:tc>
      </w:tr>
      <w:tr>
        <w:trPr>
          <w:trHeight w:val="134"/>
        </w:trPr>
        <w:tc>
          <w:tcPr>
            <w:tcW w:w="1460" w:type="dxa"/>
            <w:vAlign w:val="bottom"/>
            <w:shd w:val="clear" w:color="auto" w:fill="E7E6E6"/>
          </w:tcPr>
          <w:p>
            <w:pPr>
              <w:spacing w:after="0"/>
              <w:rPr>
                <w:sz w:val="11"/>
                <w:szCs w:val="11"/>
                <w:color w:val="auto"/>
              </w:rPr>
            </w:pPr>
          </w:p>
        </w:tc>
        <w:tc>
          <w:tcPr>
            <w:tcW w:w="540" w:type="dxa"/>
            <w:vAlign w:val="bottom"/>
            <w:shd w:val="clear" w:color="auto" w:fill="E7E6E6"/>
          </w:tcPr>
          <w:p>
            <w:pPr>
              <w:spacing w:after="0"/>
              <w:rPr>
                <w:sz w:val="11"/>
                <w:szCs w:val="11"/>
                <w:color w:val="auto"/>
              </w:rPr>
            </w:pPr>
          </w:p>
        </w:tc>
        <w:tc>
          <w:tcPr>
            <w:tcW w:w="40" w:type="dxa"/>
            <w:vAlign w:val="bottom"/>
            <w:shd w:val="clear" w:color="auto" w:fill="E7E6E6"/>
          </w:tcPr>
          <w:p>
            <w:pPr>
              <w:spacing w:after="0"/>
              <w:rPr>
                <w:sz w:val="11"/>
                <w:szCs w:val="11"/>
                <w:color w:val="auto"/>
              </w:rPr>
            </w:pPr>
          </w:p>
        </w:tc>
        <w:tc>
          <w:tcPr>
            <w:tcW w:w="1240" w:type="dxa"/>
            <w:vAlign w:val="bottom"/>
            <w:shd w:val="clear" w:color="auto" w:fill="E7E6E6"/>
          </w:tcPr>
          <w:p>
            <w:pPr>
              <w:spacing w:after="0" w:line="134" w:lineRule="exact"/>
              <w:rPr>
                <w:sz w:val="20"/>
                <w:szCs w:val="20"/>
                <w:color w:val="auto"/>
              </w:rPr>
            </w:pPr>
            <w:r>
              <w:rPr>
                <w:rFonts w:ascii="Arial" w:cs="Arial" w:eastAsia="Arial" w:hAnsi="Arial"/>
                <w:sz w:val="13"/>
                <w:szCs w:val="13"/>
                <w:color w:val="auto"/>
              </w:rPr>
              <w:t>WTM Performance</w:t>
            </w:r>
          </w:p>
        </w:tc>
        <w:tc>
          <w:tcPr>
            <w:tcW w:w="940" w:type="dxa"/>
            <w:vAlign w:val="bottom"/>
            <w:shd w:val="clear" w:color="auto" w:fill="E7E6E6"/>
          </w:tcPr>
          <w:p>
            <w:pPr>
              <w:spacing w:after="0"/>
              <w:rPr>
                <w:sz w:val="11"/>
                <w:szCs w:val="11"/>
                <w:color w:val="auto"/>
              </w:rPr>
            </w:pPr>
          </w:p>
        </w:tc>
        <w:tc>
          <w:tcPr>
            <w:tcW w:w="800" w:type="dxa"/>
            <w:vAlign w:val="bottom"/>
            <w:shd w:val="clear" w:color="auto" w:fill="E7E6E6"/>
          </w:tcPr>
          <w:p>
            <w:pPr>
              <w:spacing w:after="0"/>
              <w:rPr>
                <w:sz w:val="11"/>
                <w:szCs w:val="11"/>
                <w:color w:val="auto"/>
              </w:rPr>
            </w:pPr>
          </w:p>
        </w:tc>
        <w:tc>
          <w:tcPr>
            <w:tcW w:w="740" w:type="dxa"/>
            <w:vAlign w:val="bottom"/>
            <w:shd w:val="clear" w:color="auto" w:fill="E7E6E6"/>
          </w:tcPr>
          <w:p>
            <w:pPr>
              <w:spacing w:after="0"/>
              <w:rPr>
                <w:sz w:val="11"/>
                <w:szCs w:val="11"/>
                <w:color w:val="auto"/>
              </w:rPr>
            </w:pPr>
          </w:p>
        </w:tc>
        <w:tc>
          <w:tcPr>
            <w:tcW w:w="120" w:type="dxa"/>
            <w:vAlign w:val="bottom"/>
            <w:shd w:val="clear" w:color="auto" w:fill="E7E6E6"/>
          </w:tcPr>
          <w:p>
            <w:pPr>
              <w:spacing w:after="0"/>
              <w:rPr>
                <w:sz w:val="11"/>
                <w:szCs w:val="11"/>
                <w:color w:val="auto"/>
              </w:rPr>
            </w:pPr>
          </w:p>
        </w:tc>
        <w:tc>
          <w:tcPr>
            <w:tcW w:w="780" w:type="dxa"/>
            <w:vAlign w:val="bottom"/>
            <w:shd w:val="clear" w:color="auto" w:fill="E7E6E6"/>
          </w:tcPr>
          <w:p>
            <w:pPr>
              <w:spacing w:after="0"/>
              <w:rPr>
                <w:sz w:val="11"/>
                <w:szCs w:val="11"/>
                <w:color w:val="auto"/>
              </w:rPr>
            </w:pPr>
          </w:p>
        </w:tc>
        <w:tc>
          <w:tcPr>
            <w:tcW w:w="800" w:type="dxa"/>
            <w:vAlign w:val="bottom"/>
            <w:shd w:val="clear" w:color="auto" w:fill="E7E6E6"/>
          </w:tcPr>
          <w:p>
            <w:pPr>
              <w:spacing w:after="0"/>
              <w:rPr>
                <w:sz w:val="11"/>
                <w:szCs w:val="11"/>
                <w:color w:val="auto"/>
              </w:rPr>
            </w:pPr>
          </w:p>
        </w:tc>
        <w:tc>
          <w:tcPr>
            <w:tcW w:w="660" w:type="dxa"/>
            <w:vAlign w:val="bottom"/>
            <w:shd w:val="clear" w:color="auto" w:fill="E7E6E6"/>
          </w:tcPr>
          <w:p>
            <w:pPr>
              <w:spacing w:after="0"/>
              <w:rPr>
                <w:sz w:val="11"/>
                <w:szCs w:val="11"/>
                <w:color w:val="auto"/>
              </w:rPr>
            </w:pPr>
          </w:p>
        </w:tc>
        <w:tc>
          <w:tcPr>
            <w:tcW w:w="60" w:type="dxa"/>
            <w:vAlign w:val="bottom"/>
            <w:shd w:val="clear" w:color="auto" w:fill="E7E6E6"/>
          </w:tcPr>
          <w:p>
            <w:pPr>
              <w:spacing w:after="0"/>
              <w:rPr>
                <w:sz w:val="11"/>
                <w:szCs w:val="11"/>
                <w:color w:val="auto"/>
              </w:rPr>
            </w:pPr>
          </w:p>
        </w:tc>
        <w:tc>
          <w:tcPr>
            <w:tcW w:w="780" w:type="dxa"/>
            <w:vAlign w:val="bottom"/>
            <w:shd w:val="clear" w:color="auto" w:fill="E7E6E6"/>
          </w:tcPr>
          <w:p>
            <w:pPr>
              <w:spacing w:after="0"/>
              <w:rPr>
                <w:sz w:val="11"/>
                <w:szCs w:val="11"/>
                <w:color w:val="auto"/>
              </w:rPr>
            </w:pPr>
          </w:p>
        </w:tc>
        <w:tc>
          <w:tcPr>
            <w:tcW w:w="860" w:type="dxa"/>
            <w:vAlign w:val="bottom"/>
            <w:shd w:val="clear" w:color="auto" w:fill="E7E6E6"/>
          </w:tcPr>
          <w:p>
            <w:pPr>
              <w:spacing w:after="0"/>
              <w:rPr>
                <w:sz w:val="11"/>
                <w:szCs w:val="11"/>
                <w:color w:val="auto"/>
              </w:rPr>
            </w:pPr>
          </w:p>
        </w:tc>
        <w:tc>
          <w:tcPr>
            <w:tcW w:w="700" w:type="dxa"/>
            <w:vAlign w:val="bottom"/>
            <w:shd w:val="clear" w:color="auto" w:fill="E7E6E6"/>
          </w:tcPr>
          <w:p>
            <w:pPr>
              <w:spacing w:after="0"/>
              <w:rPr>
                <w:sz w:val="11"/>
                <w:szCs w:val="11"/>
                <w:color w:val="auto"/>
              </w:rPr>
            </w:pPr>
          </w:p>
        </w:tc>
        <w:tc>
          <w:tcPr>
            <w:tcW w:w="720" w:type="dxa"/>
            <w:vAlign w:val="bottom"/>
            <w:shd w:val="clear" w:color="auto" w:fill="E7E6E6"/>
          </w:tcPr>
          <w:p>
            <w:pPr>
              <w:spacing w:after="0"/>
              <w:rPr>
                <w:sz w:val="11"/>
                <w:szCs w:val="11"/>
                <w:color w:val="auto"/>
              </w:rPr>
            </w:pPr>
          </w:p>
        </w:tc>
      </w:tr>
      <w:tr>
        <w:trPr>
          <w:trHeight w:val="157"/>
        </w:trPr>
        <w:tc>
          <w:tcPr>
            <w:tcW w:w="1460" w:type="dxa"/>
            <w:vAlign w:val="bottom"/>
            <w:tcBorders>
              <w:bottom w:val="single" w:sz="8" w:color="E7E6E6"/>
            </w:tcBorders>
            <w:shd w:val="clear" w:color="auto" w:fill="E7E6E6"/>
          </w:tcPr>
          <w:p>
            <w:pPr>
              <w:spacing w:after="0"/>
              <w:rPr>
                <w:sz w:val="13"/>
                <w:szCs w:val="13"/>
                <w:color w:val="auto"/>
              </w:rPr>
            </w:pPr>
          </w:p>
        </w:tc>
        <w:tc>
          <w:tcPr>
            <w:tcW w:w="580" w:type="dxa"/>
            <w:vAlign w:val="bottom"/>
            <w:tcBorders>
              <w:bottom w:val="single" w:sz="8" w:color="auto"/>
            </w:tcBorders>
            <w:gridSpan w:val="2"/>
            <w:shd w:val="clear" w:color="auto" w:fill="E7E6E6"/>
          </w:tcPr>
          <w:p>
            <w:pPr>
              <w:ind w:left="80"/>
              <w:spacing w:after="0"/>
              <w:rPr>
                <w:sz w:val="20"/>
                <w:szCs w:val="20"/>
                <w:color w:val="auto"/>
              </w:rPr>
            </w:pPr>
            <w:r>
              <w:rPr>
                <w:rFonts w:ascii="Arial" w:cs="Arial" w:eastAsia="Arial" w:hAnsi="Arial"/>
                <w:sz w:val="13"/>
                <w:szCs w:val="13"/>
                <w:color w:val="auto"/>
              </w:rPr>
              <w:t>2/26/25</w:t>
            </w:r>
          </w:p>
        </w:tc>
        <w:tc>
          <w:tcPr>
            <w:tcW w:w="1240" w:type="dxa"/>
            <w:vAlign w:val="bottom"/>
            <w:tcBorders>
              <w:bottom w:val="single" w:sz="8" w:color="auto"/>
            </w:tcBorders>
            <w:shd w:val="clear" w:color="auto" w:fill="E7E6E6"/>
          </w:tcPr>
          <w:p>
            <w:pPr>
              <w:spacing w:after="0"/>
              <w:rPr>
                <w:sz w:val="20"/>
                <w:szCs w:val="20"/>
                <w:color w:val="auto"/>
              </w:rPr>
            </w:pPr>
            <w:r>
              <w:rPr>
                <w:rFonts w:ascii="Arial" w:cs="Arial" w:eastAsia="Arial" w:hAnsi="Arial"/>
                <w:sz w:val="13"/>
                <w:szCs w:val="13"/>
                <w:color w:val="auto"/>
              </w:rPr>
              <w:t>Shares</w:t>
            </w:r>
          </w:p>
        </w:tc>
        <w:tc>
          <w:tcPr>
            <w:tcW w:w="94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gridSpan w:val="2"/>
            <w:shd w:val="clear" w:color="auto" w:fill="E7E6E6"/>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0</w:t>
            </w:r>
          </w:p>
        </w:tc>
        <w:tc>
          <w:tcPr>
            <w:tcW w:w="80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900</w:t>
            </w:r>
          </w:p>
        </w:tc>
        <w:tc>
          <w:tcPr>
            <w:tcW w:w="720" w:type="dxa"/>
            <w:vAlign w:val="bottom"/>
            <w:tcBorders>
              <w:bottom w:val="single" w:sz="8" w:color="auto"/>
            </w:tcBorders>
            <w:gridSpan w:val="2"/>
            <w:shd w:val="clear" w:color="auto" w:fill="E7E6E6"/>
          </w:tcPr>
          <w:p>
            <w:pPr>
              <w:jc w:val="right"/>
              <w:ind w:right="60"/>
              <w:spacing w:after="0"/>
              <w:rPr>
                <w:sz w:val="20"/>
                <w:szCs w:val="20"/>
                <w:color w:val="auto"/>
              </w:rPr>
            </w:pPr>
            <w:r>
              <w:rPr>
                <w:rFonts w:ascii="Arial" w:cs="Arial" w:eastAsia="Arial" w:hAnsi="Arial"/>
                <w:sz w:val="13"/>
                <w:szCs w:val="13"/>
                <w:color w:val="auto"/>
              </w:rPr>
              <w:t>1,800</w:t>
            </w:r>
          </w:p>
        </w:tc>
        <w:tc>
          <w:tcPr>
            <w:tcW w:w="78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E7E6E6"/>
          </w:tcPr>
          <w:p>
            <w:pPr>
              <w:jc w:val="right"/>
              <w:ind w:right="74"/>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1,648,971</w:t>
            </w:r>
          </w:p>
        </w:tc>
      </w:tr>
      <w:tr>
        <w:trPr>
          <w:trHeight w:val="134"/>
        </w:trPr>
        <w:tc>
          <w:tcPr>
            <w:tcW w:w="1460" w:type="dxa"/>
            <w:vAlign w:val="bottom"/>
            <w:shd w:val="clear" w:color="auto" w:fill="E7E6E6"/>
          </w:tcPr>
          <w:p>
            <w:pPr>
              <w:spacing w:after="0"/>
              <w:rPr>
                <w:sz w:val="11"/>
                <w:szCs w:val="11"/>
                <w:color w:val="auto"/>
              </w:rPr>
            </w:pPr>
          </w:p>
        </w:tc>
        <w:tc>
          <w:tcPr>
            <w:tcW w:w="540" w:type="dxa"/>
            <w:vAlign w:val="bottom"/>
            <w:shd w:val="clear" w:color="auto" w:fill="E7E6E6"/>
          </w:tcPr>
          <w:p>
            <w:pPr>
              <w:spacing w:after="0"/>
              <w:rPr>
                <w:sz w:val="11"/>
                <w:szCs w:val="11"/>
                <w:color w:val="auto"/>
              </w:rPr>
            </w:pPr>
          </w:p>
        </w:tc>
        <w:tc>
          <w:tcPr>
            <w:tcW w:w="40" w:type="dxa"/>
            <w:vAlign w:val="bottom"/>
            <w:shd w:val="clear" w:color="auto" w:fill="E7E6E6"/>
          </w:tcPr>
          <w:p>
            <w:pPr>
              <w:spacing w:after="0"/>
              <w:rPr>
                <w:sz w:val="11"/>
                <w:szCs w:val="11"/>
                <w:color w:val="auto"/>
              </w:rPr>
            </w:pPr>
          </w:p>
        </w:tc>
        <w:tc>
          <w:tcPr>
            <w:tcW w:w="1240" w:type="dxa"/>
            <w:vAlign w:val="bottom"/>
            <w:shd w:val="clear" w:color="auto" w:fill="E7E6E6"/>
          </w:tcPr>
          <w:p>
            <w:pPr>
              <w:spacing w:after="0" w:line="134" w:lineRule="exact"/>
              <w:rPr>
                <w:sz w:val="20"/>
                <w:szCs w:val="20"/>
                <w:color w:val="auto"/>
              </w:rPr>
            </w:pPr>
            <w:r>
              <w:rPr>
                <w:rFonts w:ascii="Arial" w:cs="Arial" w:eastAsia="Arial" w:hAnsi="Arial"/>
                <w:sz w:val="13"/>
                <w:szCs w:val="13"/>
                <w:color w:val="auto"/>
              </w:rPr>
              <w:t>WTM</w:t>
            </w:r>
          </w:p>
        </w:tc>
        <w:tc>
          <w:tcPr>
            <w:tcW w:w="940" w:type="dxa"/>
            <w:vAlign w:val="bottom"/>
            <w:shd w:val="clear" w:color="auto" w:fill="E7E6E6"/>
          </w:tcPr>
          <w:p>
            <w:pPr>
              <w:spacing w:after="0"/>
              <w:rPr>
                <w:sz w:val="11"/>
                <w:szCs w:val="11"/>
                <w:color w:val="auto"/>
              </w:rPr>
            </w:pPr>
          </w:p>
        </w:tc>
        <w:tc>
          <w:tcPr>
            <w:tcW w:w="800" w:type="dxa"/>
            <w:vAlign w:val="bottom"/>
            <w:shd w:val="clear" w:color="auto" w:fill="E7E6E6"/>
          </w:tcPr>
          <w:p>
            <w:pPr>
              <w:spacing w:after="0"/>
              <w:rPr>
                <w:sz w:val="11"/>
                <w:szCs w:val="11"/>
                <w:color w:val="auto"/>
              </w:rPr>
            </w:pPr>
          </w:p>
        </w:tc>
        <w:tc>
          <w:tcPr>
            <w:tcW w:w="740" w:type="dxa"/>
            <w:vAlign w:val="bottom"/>
            <w:shd w:val="clear" w:color="auto" w:fill="E7E6E6"/>
          </w:tcPr>
          <w:p>
            <w:pPr>
              <w:spacing w:after="0"/>
              <w:rPr>
                <w:sz w:val="11"/>
                <w:szCs w:val="11"/>
                <w:color w:val="auto"/>
              </w:rPr>
            </w:pPr>
          </w:p>
        </w:tc>
        <w:tc>
          <w:tcPr>
            <w:tcW w:w="120" w:type="dxa"/>
            <w:vAlign w:val="bottom"/>
            <w:shd w:val="clear" w:color="auto" w:fill="E7E6E6"/>
          </w:tcPr>
          <w:p>
            <w:pPr>
              <w:spacing w:after="0"/>
              <w:rPr>
                <w:sz w:val="11"/>
                <w:szCs w:val="11"/>
                <w:color w:val="auto"/>
              </w:rPr>
            </w:pPr>
          </w:p>
        </w:tc>
        <w:tc>
          <w:tcPr>
            <w:tcW w:w="780" w:type="dxa"/>
            <w:vAlign w:val="bottom"/>
            <w:shd w:val="clear" w:color="auto" w:fill="E7E6E6"/>
          </w:tcPr>
          <w:p>
            <w:pPr>
              <w:spacing w:after="0"/>
              <w:rPr>
                <w:sz w:val="11"/>
                <w:szCs w:val="11"/>
                <w:color w:val="auto"/>
              </w:rPr>
            </w:pPr>
          </w:p>
        </w:tc>
        <w:tc>
          <w:tcPr>
            <w:tcW w:w="800" w:type="dxa"/>
            <w:vAlign w:val="bottom"/>
            <w:shd w:val="clear" w:color="auto" w:fill="E7E6E6"/>
          </w:tcPr>
          <w:p>
            <w:pPr>
              <w:spacing w:after="0"/>
              <w:rPr>
                <w:sz w:val="11"/>
                <w:szCs w:val="11"/>
                <w:color w:val="auto"/>
              </w:rPr>
            </w:pPr>
          </w:p>
        </w:tc>
        <w:tc>
          <w:tcPr>
            <w:tcW w:w="660" w:type="dxa"/>
            <w:vAlign w:val="bottom"/>
            <w:shd w:val="clear" w:color="auto" w:fill="E7E6E6"/>
          </w:tcPr>
          <w:p>
            <w:pPr>
              <w:spacing w:after="0"/>
              <w:rPr>
                <w:sz w:val="11"/>
                <w:szCs w:val="11"/>
                <w:color w:val="auto"/>
              </w:rPr>
            </w:pPr>
          </w:p>
        </w:tc>
        <w:tc>
          <w:tcPr>
            <w:tcW w:w="60" w:type="dxa"/>
            <w:vAlign w:val="bottom"/>
            <w:shd w:val="clear" w:color="auto" w:fill="E7E6E6"/>
          </w:tcPr>
          <w:p>
            <w:pPr>
              <w:spacing w:after="0"/>
              <w:rPr>
                <w:sz w:val="11"/>
                <w:szCs w:val="11"/>
                <w:color w:val="auto"/>
              </w:rPr>
            </w:pPr>
          </w:p>
        </w:tc>
        <w:tc>
          <w:tcPr>
            <w:tcW w:w="780" w:type="dxa"/>
            <w:vAlign w:val="bottom"/>
            <w:shd w:val="clear" w:color="auto" w:fill="E7E6E6"/>
          </w:tcPr>
          <w:p>
            <w:pPr>
              <w:spacing w:after="0"/>
              <w:rPr>
                <w:sz w:val="11"/>
                <w:szCs w:val="11"/>
                <w:color w:val="auto"/>
              </w:rPr>
            </w:pPr>
          </w:p>
        </w:tc>
        <w:tc>
          <w:tcPr>
            <w:tcW w:w="860" w:type="dxa"/>
            <w:vAlign w:val="bottom"/>
            <w:shd w:val="clear" w:color="auto" w:fill="E7E6E6"/>
          </w:tcPr>
          <w:p>
            <w:pPr>
              <w:spacing w:after="0"/>
              <w:rPr>
                <w:sz w:val="11"/>
                <w:szCs w:val="11"/>
                <w:color w:val="auto"/>
              </w:rPr>
            </w:pPr>
          </w:p>
        </w:tc>
        <w:tc>
          <w:tcPr>
            <w:tcW w:w="700" w:type="dxa"/>
            <w:vAlign w:val="bottom"/>
            <w:shd w:val="clear" w:color="auto" w:fill="E7E6E6"/>
          </w:tcPr>
          <w:p>
            <w:pPr>
              <w:spacing w:after="0"/>
              <w:rPr>
                <w:sz w:val="11"/>
                <w:szCs w:val="11"/>
                <w:color w:val="auto"/>
              </w:rPr>
            </w:pPr>
          </w:p>
        </w:tc>
        <w:tc>
          <w:tcPr>
            <w:tcW w:w="720" w:type="dxa"/>
            <w:vAlign w:val="bottom"/>
            <w:shd w:val="clear" w:color="auto" w:fill="E7E6E6"/>
          </w:tcPr>
          <w:p>
            <w:pPr>
              <w:spacing w:after="0"/>
              <w:rPr>
                <w:sz w:val="11"/>
                <w:szCs w:val="11"/>
                <w:color w:val="auto"/>
              </w:rPr>
            </w:pPr>
          </w:p>
        </w:tc>
      </w:tr>
      <w:tr>
        <w:trPr>
          <w:trHeight w:val="157"/>
        </w:trPr>
        <w:tc>
          <w:tcPr>
            <w:tcW w:w="1460" w:type="dxa"/>
            <w:vAlign w:val="bottom"/>
            <w:tcBorders>
              <w:bottom w:val="single" w:sz="8" w:color="auto"/>
            </w:tcBorders>
            <w:shd w:val="clear" w:color="auto" w:fill="E7E6E6"/>
          </w:tcPr>
          <w:p>
            <w:pPr>
              <w:spacing w:after="0"/>
              <w:rPr>
                <w:sz w:val="13"/>
                <w:szCs w:val="13"/>
                <w:color w:val="auto"/>
              </w:rPr>
            </w:pPr>
          </w:p>
        </w:tc>
        <w:tc>
          <w:tcPr>
            <w:tcW w:w="580" w:type="dxa"/>
            <w:vAlign w:val="bottom"/>
            <w:tcBorders>
              <w:bottom w:val="single" w:sz="8" w:color="auto"/>
            </w:tcBorders>
            <w:gridSpan w:val="2"/>
            <w:shd w:val="clear" w:color="auto" w:fill="E7E6E6"/>
          </w:tcPr>
          <w:p>
            <w:pPr>
              <w:ind w:left="80"/>
              <w:spacing w:after="0"/>
              <w:rPr>
                <w:sz w:val="20"/>
                <w:szCs w:val="20"/>
                <w:color w:val="auto"/>
              </w:rPr>
            </w:pPr>
            <w:r>
              <w:rPr>
                <w:rFonts w:ascii="Arial" w:cs="Arial" w:eastAsia="Arial" w:hAnsi="Arial"/>
                <w:sz w:val="13"/>
                <w:szCs w:val="13"/>
                <w:color w:val="auto"/>
              </w:rPr>
              <w:t>2/26/25</w:t>
            </w:r>
          </w:p>
        </w:tc>
        <w:tc>
          <w:tcPr>
            <w:tcW w:w="1240" w:type="dxa"/>
            <w:vAlign w:val="bottom"/>
            <w:tcBorders>
              <w:bottom w:val="single" w:sz="8" w:color="auto"/>
            </w:tcBorders>
            <w:shd w:val="clear" w:color="auto" w:fill="E7E6E6"/>
          </w:tcPr>
          <w:p>
            <w:pPr>
              <w:spacing w:after="0"/>
              <w:rPr>
                <w:sz w:val="20"/>
                <w:szCs w:val="20"/>
                <w:color w:val="auto"/>
              </w:rPr>
            </w:pPr>
            <w:r>
              <w:rPr>
                <w:rFonts w:ascii="Arial" w:cs="Arial" w:eastAsia="Arial" w:hAnsi="Arial"/>
                <w:sz w:val="13"/>
                <w:szCs w:val="13"/>
                <w:color w:val="auto"/>
              </w:rPr>
              <w:t>Restricted Shares</w:t>
            </w:r>
          </w:p>
        </w:tc>
        <w:tc>
          <w:tcPr>
            <w:tcW w:w="94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gridSpan w:val="2"/>
            <w:shd w:val="clear" w:color="auto" w:fill="E7E6E6"/>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gridSpan w:val="2"/>
            <w:shd w:val="clear" w:color="auto" w:fill="E7E6E6"/>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900</w:t>
            </w:r>
          </w:p>
        </w:tc>
        <w:tc>
          <w:tcPr>
            <w:tcW w:w="860" w:type="dxa"/>
            <w:vAlign w:val="bottom"/>
            <w:tcBorders>
              <w:bottom w:val="single" w:sz="8" w:color="auto"/>
            </w:tcBorders>
            <w:shd w:val="clear" w:color="auto" w:fill="E7E6E6"/>
          </w:tcPr>
          <w:p>
            <w:pPr>
              <w:jc w:val="right"/>
              <w:ind w:right="74"/>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1,648,971</w:t>
            </w:r>
          </w:p>
        </w:tc>
      </w:tr>
      <w:tr>
        <w:trPr>
          <w:trHeight w:val="134"/>
        </w:trPr>
        <w:tc>
          <w:tcPr>
            <w:tcW w:w="1460" w:type="dxa"/>
            <w:vAlign w:val="bottom"/>
          </w:tcPr>
          <w:p>
            <w:pPr>
              <w:spacing w:after="0" w:line="134" w:lineRule="exact"/>
              <w:rPr>
                <w:sz w:val="20"/>
                <w:szCs w:val="20"/>
                <w:color w:val="auto"/>
              </w:rPr>
            </w:pPr>
            <w:r>
              <w:rPr>
                <w:rFonts w:ascii="Arial" w:cs="Arial" w:eastAsia="Arial" w:hAnsi="Arial"/>
                <w:sz w:val="13"/>
                <w:szCs w:val="13"/>
                <w:color w:val="auto"/>
              </w:rPr>
              <w:t>Robert L. Seelig</w:t>
            </w:r>
          </w:p>
        </w:tc>
        <w:tc>
          <w:tcPr>
            <w:tcW w:w="540" w:type="dxa"/>
            <w:vAlign w:val="bottom"/>
          </w:tcPr>
          <w:p>
            <w:pPr>
              <w:spacing w:after="0"/>
              <w:rPr>
                <w:sz w:val="11"/>
                <w:szCs w:val="11"/>
                <w:color w:val="auto"/>
              </w:rPr>
            </w:pPr>
          </w:p>
        </w:tc>
        <w:tc>
          <w:tcPr>
            <w:tcW w:w="1280" w:type="dxa"/>
            <w:vAlign w:val="bottom"/>
            <w:gridSpan w:val="2"/>
          </w:tcPr>
          <w:p>
            <w:pPr>
              <w:ind w:left="40"/>
              <w:spacing w:after="0" w:line="134" w:lineRule="exact"/>
              <w:rPr>
                <w:sz w:val="20"/>
                <w:szCs w:val="20"/>
                <w:color w:val="auto"/>
              </w:rPr>
            </w:pPr>
            <w:r>
              <w:rPr>
                <w:rFonts w:ascii="Arial" w:cs="Arial" w:eastAsia="Arial" w:hAnsi="Arial"/>
                <w:sz w:val="13"/>
                <w:szCs w:val="13"/>
                <w:color w:val="auto"/>
              </w:rPr>
              <w:t>Annual Incentive</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7"/>
        </w:trPr>
        <w:tc>
          <w:tcPr>
            <w:tcW w:w="14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rPr>
              <w:t>Bonus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600,000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1,200,000</w:t>
            </w: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34"/>
        </w:trPr>
        <w:tc>
          <w:tcPr>
            <w:tcW w:w="1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2"/>
          </w:tcPr>
          <w:p>
            <w:pPr>
              <w:ind w:left="40"/>
              <w:spacing w:after="0" w:line="134" w:lineRule="exact"/>
              <w:rPr>
                <w:sz w:val="20"/>
                <w:szCs w:val="20"/>
                <w:color w:val="auto"/>
              </w:rPr>
            </w:pPr>
            <w:r>
              <w:rPr>
                <w:rFonts w:ascii="Arial" w:cs="Arial" w:eastAsia="Arial" w:hAnsi="Arial"/>
                <w:sz w:val="13"/>
                <w:szCs w:val="13"/>
                <w:color w:val="auto"/>
              </w:rPr>
              <w:t>WTM Performance</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7"/>
        </w:trPr>
        <w:tc>
          <w:tcPr>
            <w:tcW w:w="1460" w:type="dxa"/>
            <w:vAlign w:val="bottom"/>
          </w:tcPr>
          <w:p>
            <w:pPr>
              <w:spacing w:after="0"/>
              <w:rPr>
                <w:sz w:val="13"/>
                <w:szCs w:val="13"/>
                <w:color w:val="auto"/>
              </w:rPr>
            </w:pPr>
          </w:p>
        </w:tc>
        <w:tc>
          <w:tcPr>
            <w:tcW w:w="182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2/26/25 Shares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825</w:t>
            </w: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1,650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1,511,557</w:t>
            </w:r>
          </w:p>
        </w:tc>
      </w:tr>
      <w:tr>
        <w:trPr>
          <w:trHeight w:val="134"/>
        </w:trPr>
        <w:tc>
          <w:tcPr>
            <w:tcW w:w="1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2"/>
          </w:tcPr>
          <w:p>
            <w:pPr>
              <w:ind w:left="40"/>
              <w:spacing w:after="0" w:line="134" w:lineRule="exact"/>
              <w:rPr>
                <w:sz w:val="20"/>
                <w:szCs w:val="20"/>
                <w:color w:val="auto"/>
              </w:rPr>
            </w:pPr>
            <w:r>
              <w:rPr>
                <w:rFonts w:ascii="Arial" w:cs="Arial" w:eastAsia="Arial" w:hAnsi="Arial"/>
                <w:sz w:val="13"/>
                <w:szCs w:val="13"/>
                <w:color w:val="auto"/>
              </w:rPr>
              <w:t>WTM</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7"/>
        </w:trPr>
        <w:tc>
          <w:tcPr>
            <w:tcW w:w="14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2/26/25 Restricted Shares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825</w:t>
            </w:r>
          </w:p>
        </w:tc>
        <w:tc>
          <w:tcPr>
            <w:tcW w:w="86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1,511,557</w:t>
            </w:r>
          </w:p>
        </w:tc>
      </w:tr>
      <w:tr>
        <w:trPr>
          <w:trHeight w:val="134"/>
        </w:trPr>
        <w:tc>
          <w:tcPr>
            <w:tcW w:w="1460" w:type="dxa"/>
            <w:vAlign w:val="bottom"/>
            <w:shd w:val="clear" w:color="auto" w:fill="E7E6E6"/>
          </w:tcPr>
          <w:p>
            <w:pPr>
              <w:spacing w:after="0" w:line="134" w:lineRule="exact"/>
              <w:rPr>
                <w:sz w:val="20"/>
                <w:szCs w:val="20"/>
                <w:color w:val="auto"/>
              </w:rPr>
            </w:pPr>
            <w:r>
              <w:rPr>
                <w:rFonts w:ascii="Arial" w:cs="Arial" w:eastAsia="Arial" w:hAnsi="Arial"/>
                <w:sz w:val="13"/>
                <w:szCs w:val="13"/>
                <w:color w:val="auto"/>
              </w:rPr>
              <w:t>Michaela J. Hildreth</w:t>
            </w:r>
          </w:p>
        </w:tc>
        <w:tc>
          <w:tcPr>
            <w:tcW w:w="540" w:type="dxa"/>
            <w:vAlign w:val="bottom"/>
            <w:shd w:val="clear" w:color="auto" w:fill="E7E6E6"/>
          </w:tcPr>
          <w:p>
            <w:pPr>
              <w:spacing w:after="0"/>
              <w:rPr>
                <w:sz w:val="11"/>
                <w:szCs w:val="11"/>
                <w:color w:val="auto"/>
              </w:rPr>
            </w:pPr>
          </w:p>
        </w:tc>
        <w:tc>
          <w:tcPr>
            <w:tcW w:w="1280" w:type="dxa"/>
            <w:vAlign w:val="bottom"/>
            <w:gridSpan w:val="2"/>
            <w:shd w:val="clear" w:color="auto" w:fill="E7E6E6"/>
          </w:tcPr>
          <w:p>
            <w:pPr>
              <w:ind w:left="40"/>
              <w:spacing w:after="0" w:line="134" w:lineRule="exact"/>
              <w:rPr>
                <w:sz w:val="20"/>
                <w:szCs w:val="20"/>
                <w:color w:val="auto"/>
              </w:rPr>
            </w:pPr>
            <w:r>
              <w:rPr>
                <w:rFonts w:ascii="Arial" w:cs="Arial" w:eastAsia="Arial" w:hAnsi="Arial"/>
                <w:sz w:val="13"/>
                <w:szCs w:val="13"/>
                <w:color w:val="auto"/>
              </w:rPr>
              <w:t>Annual Incentive</w:t>
            </w:r>
          </w:p>
        </w:tc>
        <w:tc>
          <w:tcPr>
            <w:tcW w:w="940" w:type="dxa"/>
            <w:vAlign w:val="bottom"/>
            <w:shd w:val="clear" w:color="auto" w:fill="E7E6E6"/>
          </w:tcPr>
          <w:p>
            <w:pPr>
              <w:spacing w:after="0"/>
              <w:rPr>
                <w:sz w:val="11"/>
                <w:szCs w:val="11"/>
                <w:color w:val="auto"/>
              </w:rPr>
            </w:pPr>
          </w:p>
        </w:tc>
        <w:tc>
          <w:tcPr>
            <w:tcW w:w="800" w:type="dxa"/>
            <w:vAlign w:val="bottom"/>
            <w:shd w:val="clear" w:color="auto" w:fill="E7E6E6"/>
          </w:tcPr>
          <w:p>
            <w:pPr>
              <w:spacing w:after="0"/>
              <w:rPr>
                <w:sz w:val="11"/>
                <w:szCs w:val="11"/>
                <w:color w:val="auto"/>
              </w:rPr>
            </w:pPr>
          </w:p>
        </w:tc>
        <w:tc>
          <w:tcPr>
            <w:tcW w:w="740" w:type="dxa"/>
            <w:vAlign w:val="bottom"/>
            <w:shd w:val="clear" w:color="auto" w:fill="E7E6E6"/>
          </w:tcPr>
          <w:p>
            <w:pPr>
              <w:spacing w:after="0"/>
              <w:rPr>
                <w:sz w:val="11"/>
                <w:szCs w:val="11"/>
                <w:color w:val="auto"/>
              </w:rPr>
            </w:pPr>
          </w:p>
        </w:tc>
        <w:tc>
          <w:tcPr>
            <w:tcW w:w="120" w:type="dxa"/>
            <w:vAlign w:val="bottom"/>
            <w:shd w:val="clear" w:color="auto" w:fill="E7E6E6"/>
          </w:tcPr>
          <w:p>
            <w:pPr>
              <w:spacing w:after="0"/>
              <w:rPr>
                <w:sz w:val="11"/>
                <w:szCs w:val="11"/>
                <w:color w:val="auto"/>
              </w:rPr>
            </w:pPr>
          </w:p>
        </w:tc>
        <w:tc>
          <w:tcPr>
            <w:tcW w:w="780" w:type="dxa"/>
            <w:vAlign w:val="bottom"/>
            <w:shd w:val="clear" w:color="auto" w:fill="E7E6E6"/>
          </w:tcPr>
          <w:p>
            <w:pPr>
              <w:spacing w:after="0"/>
              <w:rPr>
                <w:sz w:val="11"/>
                <w:szCs w:val="11"/>
                <w:color w:val="auto"/>
              </w:rPr>
            </w:pPr>
          </w:p>
        </w:tc>
        <w:tc>
          <w:tcPr>
            <w:tcW w:w="800" w:type="dxa"/>
            <w:vAlign w:val="bottom"/>
            <w:shd w:val="clear" w:color="auto" w:fill="E7E6E6"/>
          </w:tcPr>
          <w:p>
            <w:pPr>
              <w:spacing w:after="0"/>
              <w:rPr>
                <w:sz w:val="11"/>
                <w:szCs w:val="11"/>
                <w:color w:val="auto"/>
              </w:rPr>
            </w:pPr>
          </w:p>
        </w:tc>
        <w:tc>
          <w:tcPr>
            <w:tcW w:w="660" w:type="dxa"/>
            <w:vAlign w:val="bottom"/>
            <w:shd w:val="clear" w:color="auto" w:fill="E7E6E6"/>
          </w:tcPr>
          <w:p>
            <w:pPr>
              <w:spacing w:after="0"/>
              <w:rPr>
                <w:sz w:val="11"/>
                <w:szCs w:val="11"/>
                <w:color w:val="auto"/>
              </w:rPr>
            </w:pPr>
          </w:p>
        </w:tc>
        <w:tc>
          <w:tcPr>
            <w:tcW w:w="60" w:type="dxa"/>
            <w:vAlign w:val="bottom"/>
            <w:shd w:val="clear" w:color="auto" w:fill="E7E6E6"/>
          </w:tcPr>
          <w:p>
            <w:pPr>
              <w:spacing w:after="0"/>
              <w:rPr>
                <w:sz w:val="11"/>
                <w:szCs w:val="11"/>
                <w:color w:val="auto"/>
              </w:rPr>
            </w:pPr>
          </w:p>
        </w:tc>
        <w:tc>
          <w:tcPr>
            <w:tcW w:w="780" w:type="dxa"/>
            <w:vAlign w:val="bottom"/>
            <w:shd w:val="clear" w:color="auto" w:fill="E7E6E6"/>
          </w:tcPr>
          <w:p>
            <w:pPr>
              <w:spacing w:after="0"/>
              <w:rPr>
                <w:sz w:val="11"/>
                <w:szCs w:val="11"/>
                <w:color w:val="auto"/>
              </w:rPr>
            </w:pPr>
          </w:p>
        </w:tc>
        <w:tc>
          <w:tcPr>
            <w:tcW w:w="860" w:type="dxa"/>
            <w:vAlign w:val="bottom"/>
            <w:shd w:val="clear" w:color="auto" w:fill="E7E6E6"/>
          </w:tcPr>
          <w:p>
            <w:pPr>
              <w:spacing w:after="0"/>
              <w:rPr>
                <w:sz w:val="11"/>
                <w:szCs w:val="11"/>
                <w:color w:val="auto"/>
              </w:rPr>
            </w:pPr>
          </w:p>
        </w:tc>
        <w:tc>
          <w:tcPr>
            <w:tcW w:w="700" w:type="dxa"/>
            <w:vAlign w:val="bottom"/>
            <w:shd w:val="clear" w:color="auto" w:fill="E7E6E6"/>
          </w:tcPr>
          <w:p>
            <w:pPr>
              <w:spacing w:after="0"/>
              <w:rPr>
                <w:sz w:val="11"/>
                <w:szCs w:val="11"/>
                <w:color w:val="auto"/>
              </w:rPr>
            </w:pPr>
          </w:p>
        </w:tc>
        <w:tc>
          <w:tcPr>
            <w:tcW w:w="720" w:type="dxa"/>
            <w:vAlign w:val="bottom"/>
            <w:shd w:val="clear" w:color="auto" w:fill="E7E6E6"/>
          </w:tcPr>
          <w:p>
            <w:pPr>
              <w:spacing w:after="0"/>
              <w:rPr>
                <w:sz w:val="11"/>
                <w:szCs w:val="11"/>
                <w:color w:val="auto"/>
              </w:rPr>
            </w:pPr>
          </w:p>
        </w:tc>
      </w:tr>
      <w:tr>
        <w:trPr>
          <w:trHeight w:val="157"/>
        </w:trPr>
        <w:tc>
          <w:tcPr>
            <w:tcW w:w="1460" w:type="dxa"/>
            <w:vAlign w:val="bottom"/>
            <w:tcBorders>
              <w:bottom w:val="single" w:sz="8" w:color="E7E6E6"/>
            </w:tcBorders>
            <w:shd w:val="clear" w:color="auto" w:fill="E7E6E6"/>
          </w:tcPr>
          <w:p>
            <w:pPr>
              <w:spacing w:after="0"/>
              <w:rPr>
                <w:sz w:val="13"/>
                <w:szCs w:val="13"/>
                <w:color w:val="auto"/>
              </w:rPr>
            </w:pPr>
          </w:p>
        </w:tc>
        <w:tc>
          <w:tcPr>
            <w:tcW w:w="540" w:type="dxa"/>
            <w:vAlign w:val="bottom"/>
            <w:tcBorders>
              <w:bottom w:val="single" w:sz="8" w:color="auto"/>
            </w:tcBorders>
            <w:shd w:val="clear" w:color="auto" w:fill="E7E6E6"/>
          </w:tcPr>
          <w:p>
            <w:pPr>
              <w:spacing w:after="0"/>
              <w:rPr>
                <w:sz w:val="13"/>
                <w:szCs w:val="13"/>
                <w:color w:val="auto"/>
              </w:rPr>
            </w:pPr>
          </w:p>
        </w:tc>
        <w:tc>
          <w:tcPr>
            <w:tcW w:w="1280" w:type="dxa"/>
            <w:vAlign w:val="bottom"/>
            <w:tcBorders>
              <w:bottom w:val="single" w:sz="8" w:color="auto"/>
            </w:tcBorders>
            <w:gridSpan w:val="2"/>
            <w:shd w:val="clear" w:color="auto" w:fill="E7E6E6"/>
          </w:tcPr>
          <w:p>
            <w:pPr>
              <w:ind w:left="40"/>
              <w:spacing w:after="0"/>
              <w:rPr>
                <w:sz w:val="20"/>
                <w:szCs w:val="20"/>
                <w:color w:val="auto"/>
              </w:rPr>
            </w:pPr>
            <w:r>
              <w:rPr>
                <w:rFonts w:ascii="Arial" w:cs="Arial" w:eastAsia="Arial" w:hAnsi="Arial"/>
                <w:sz w:val="13"/>
                <w:szCs w:val="13"/>
                <w:color w:val="auto"/>
              </w:rPr>
              <w:t>Bonus</w:t>
            </w:r>
          </w:p>
        </w:tc>
        <w:tc>
          <w:tcPr>
            <w:tcW w:w="94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0</w:t>
            </w:r>
          </w:p>
        </w:tc>
        <w:tc>
          <w:tcPr>
            <w:tcW w:w="80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600,000</w:t>
            </w:r>
          </w:p>
        </w:tc>
        <w:tc>
          <w:tcPr>
            <w:tcW w:w="74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1,200,000</w:t>
            </w:r>
          </w:p>
        </w:tc>
        <w:tc>
          <w:tcPr>
            <w:tcW w:w="120" w:type="dxa"/>
            <w:vAlign w:val="bottom"/>
            <w:tcBorders>
              <w:bottom w:val="single" w:sz="8" w:color="auto"/>
            </w:tcBorders>
            <w:shd w:val="clear" w:color="auto" w:fill="E7E6E6"/>
          </w:tcPr>
          <w:p>
            <w:pPr>
              <w:spacing w:after="0"/>
              <w:rPr>
                <w:sz w:val="13"/>
                <w:szCs w:val="13"/>
                <w:color w:val="auto"/>
              </w:rPr>
            </w:pPr>
          </w:p>
        </w:tc>
        <w:tc>
          <w:tcPr>
            <w:tcW w:w="78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gridSpan w:val="2"/>
            <w:shd w:val="clear" w:color="auto" w:fill="E7E6E6"/>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E7E6E6"/>
          </w:tcPr>
          <w:p>
            <w:pPr>
              <w:jc w:val="right"/>
              <w:ind w:right="74"/>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w:t>
            </w:r>
          </w:p>
        </w:tc>
      </w:tr>
      <w:tr>
        <w:trPr>
          <w:trHeight w:val="134"/>
        </w:trPr>
        <w:tc>
          <w:tcPr>
            <w:tcW w:w="1460" w:type="dxa"/>
            <w:vAlign w:val="bottom"/>
            <w:shd w:val="clear" w:color="auto" w:fill="E7E6E6"/>
          </w:tcPr>
          <w:p>
            <w:pPr>
              <w:spacing w:after="0"/>
              <w:rPr>
                <w:sz w:val="11"/>
                <w:szCs w:val="11"/>
                <w:color w:val="auto"/>
              </w:rPr>
            </w:pPr>
          </w:p>
        </w:tc>
        <w:tc>
          <w:tcPr>
            <w:tcW w:w="540" w:type="dxa"/>
            <w:vAlign w:val="bottom"/>
            <w:shd w:val="clear" w:color="auto" w:fill="E7E6E6"/>
          </w:tcPr>
          <w:p>
            <w:pPr>
              <w:spacing w:after="0"/>
              <w:rPr>
                <w:sz w:val="11"/>
                <w:szCs w:val="11"/>
                <w:color w:val="auto"/>
              </w:rPr>
            </w:pPr>
          </w:p>
        </w:tc>
        <w:tc>
          <w:tcPr>
            <w:tcW w:w="40" w:type="dxa"/>
            <w:vAlign w:val="bottom"/>
            <w:shd w:val="clear" w:color="auto" w:fill="E7E6E6"/>
          </w:tcPr>
          <w:p>
            <w:pPr>
              <w:spacing w:after="0"/>
              <w:rPr>
                <w:sz w:val="11"/>
                <w:szCs w:val="11"/>
                <w:color w:val="auto"/>
              </w:rPr>
            </w:pPr>
          </w:p>
        </w:tc>
        <w:tc>
          <w:tcPr>
            <w:tcW w:w="1240" w:type="dxa"/>
            <w:vAlign w:val="bottom"/>
            <w:shd w:val="clear" w:color="auto" w:fill="E7E6E6"/>
          </w:tcPr>
          <w:p>
            <w:pPr>
              <w:spacing w:after="0" w:line="134" w:lineRule="exact"/>
              <w:rPr>
                <w:sz w:val="20"/>
                <w:szCs w:val="20"/>
                <w:color w:val="auto"/>
              </w:rPr>
            </w:pPr>
            <w:r>
              <w:rPr>
                <w:rFonts w:ascii="Arial" w:cs="Arial" w:eastAsia="Arial" w:hAnsi="Arial"/>
                <w:sz w:val="13"/>
                <w:szCs w:val="13"/>
                <w:color w:val="auto"/>
              </w:rPr>
              <w:t>WTM Performance</w:t>
            </w:r>
          </w:p>
        </w:tc>
        <w:tc>
          <w:tcPr>
            <w:tcW w:w="940" w:type="dxa"/>
            <w:vAlign w:val="bottom"/>
            <w:shd w:val="clear" w:color="auto" w:fill="E7E6E6"/>
          </w:tcPr>
          <w:p>
            <w:pPr>
              <w:spacing w:after="0"/>
              <w:rPr>
                <w:sz w:val="11"/>
                <w:szCs w:val="11"/>
                <w:color w:val="auto"/>
              </w:rPr>
            </w:pPr>
          </w:p>
        </w:tc>
        <w:tc>
          <w:tcPr>
            <w:tcW w:w="800" w:type="dxa"/>
            <w:vAlign w:val="bottom"/>
            <w:shd w:val="clear" w:color="auto" w:fill="E7E6E6"/>
          </w:tcPr>
          <w:p>
            <w:pPr>
              <w:spacing w:after="0"/>
              <w:rPr>
                <w:sz w:val="11"/>
                <w:szCs w:val="11"/>
                <w:color w:val="auto"/>
              </w:rPr>
            </w:pPr>
          </w:p>
        </w:tc>
        <w:tc>
          <w:tcPr>
            <w:tcW w:w="740" w:type="dxa"/>
            <w:vAlign w:val="bottom"/>
            <w:shd w:val="clear" w:color="auto" w:fill="E7E6E6"/>
          </w:tcPr>
          <w:p>
            <w:pPr>
              <w:spacing w:after="0"/>
              <w:rPr>
                <w:sz w:val="11"/>
                <w:szCs w:val="11"/>
                <w:color w:val="auto"/>
              </w:rPr>
            </w:pPr>
          </w:p>
        </w:tc>
        <w:tc>
          <w:tcPr>
            <w:tcW w:w="120" w:type="dxa"/>
            <w:vAlign w:val="bottom"/>
            <w:shd w:val="clear" w:color="auto" w:fill="E7E6E6"/>
          </w:tcPr>
          <w:p>
            <w:pPr>
              <w:spacing w:after="0"/>
              <w:rPr>
                <w:sz w:val="11"/>
                <w:szCs w:val="11"/>
                <w:color w:val="auto"/>
              </w:rPr>
            </w:pPr>
          </w:p>
        </w:tc>
        <w:tc>
          <w:tcPr>
            <w:tcW w:w="780" w:type="dxa"/>
            <w:vAlign w:val="bottom"/>
            <w:shd w:val="clear" w:color="auto" w:fill="E7E6E6"/>
          </w:tcPr>
          <w:p>
            <w:pPr>
              <w:spacing w:after="0"/>
              <w:rPr>
                <w:sz w:val="11"/>
                <w:szCs w:val="11"/>
                <w:color w:val="auto"/>
              </w:rPr>
            </w:pPr>
          </w:p>
        </w:tc>
        <w:tc>
          <w:tcPr>
            <w:tcW w:w="800" w:type="dxa"/>
            <w:vAlign w:val="bottom"/>
            <w:shd w:val="clear" w:color="auto" w:fill="E7E6E6"/>
          </w:tcPr>
          <w:p>
            <w:pPr>
              <w:spacing w:after="0"/>
              <w:rPr>
                <w:sz w:val="11"/>
                <w:szCs w:val="11"/>
                <w:color w:val="auto"/>
              </w:rPr>
            </w:pPr>
          </w:p>
        </w:tc>
        <w:tc>
          <w:tcPr>
            <w:tcW w:w="660" w:type="dxa"/>
            <w:vAlign w:val="bottom"/>
            <w:shd w:val="clear" w:color="auto" w:fill="E7E6E6"/>
          </w:tcPr>
          <w:p>
            <w:pPr>
              <w:spacing w:after="0"/>
              <w:rPr>
                <w:sz w:val="11"/>
                <w:szCs w:val="11"/>
                <w:color w:val="auto"/>
              </w:rPr>
            </w:pPr>
          </w:p>
        </w:tc>
        <w:tc>
          <w:tcPr>
            <w:tcW w:w="60" w:type="dxa"/>
            <w:vAlign w:val="bottom"/>
            <w:shd w:val="clear" w:color="auto" w:fill="E7E6E6"/>
          </w:tcPr>
          <w:p>
            <w:pPr>
              <w:spacing w:after="0"/>
              <w:rPr>
                <w:sz w:val="11"/>
                <w:szCs w:val="11"/>
                <w:color w:val="auto"/>
              </w:rPr>
            </w:pPr>
          </w:p>
        </w:tc>
        <w:tc>
          <w:tcPr>
            <w:tcW w:w="780" w:type="dxa"/>
            <w:vAlign w:val="bottom"/>
            <w:shd w:val="clear" w:color="auto" w:fill="E7E6E6"/>
          </w:tcPr>
          <w:p>
            <w:pPr>
              <w:spacing w:after="0"/>
              <w:rPr>
                <w:sz w:val="11"/>
                <w:szCs w:val="11"/>
                <w:color w:val="auto"/>
              </w:rPr>
            </w:pPr>
          </w:p>
        </w:tc>
        <w:tc>
          <w:tcPr>
            <w:tcW w:w="860" w:type="dxa"/>
            <w:vAlign w:val="bottom"/>
            <w:shd w:val="clear" w:color="auto" w:fill="E7E6E6"/>
          </w:tcPr>
          <w:p>
            <w:pPr>
              <w:spacing w:after="0"/>
              <w:rPr>
                <w:sz w:val="11"/>
                <w:szCs w:val="11"/>
                <w:color w:val="auto"/>
              </w:rPr>
            </w:pPr>
          </w:p>
        </w:tc>
        <w:tc>
          <w:tcPr>
            <w:tcW w:w="700" w:type="dxa"/>
            <w:vAlign w:val="bottom"/>
            <w:shd w:val="clear" w:color="auto" w:fill="E7E6E6"/>
          </w:tcPr>
          <w:p>
            <w:pPr>
              <w:spacing w:after="0"/>
              <w:rPr>
                <w:sz w:val="11"/>
                <w:szCs w:val="11"/>
                <w:color w:val="auto"/>
              </w:rPr>
            </w:pPr>
          </w:p>
        </w:tc>
        <w:tc>
          <w:tcPr>
            <w:tcW w:w="720" w:type="dxa"/>
            <w:vAlign w:val="bottom"/>
            <w:shd w:val="clear" w:color="auto" w:fill="E7E6E6"/>
          </w:tcPr>
          <w:p>
            <w:pPr>
              <w:spacing w:after="0"/>
              <w:rPr>
                <w:sz w:val="11"/>
                <w:szCs w:val="11"/>
                <w:color w:val="auto"/>
              </w:rPr>
            </w:pPr>
          </w:p>
        </w:tc>
      </w:tr>
      <w:tr>
        <w:trPr>
          <w:trHeight w:val="157"/>
        </w:trPr>
        <w:tc>
          <w:tcPr>
            <w:tcW w:w="1460" w:type="dxa"/>
            <w:vAlign w:val="bottom"/>
            <w:tcBorders>
              <w:bottom w:val="single" w:sz="8" w:color="E7E6E6"/>
            </w:tcBorders>
            <w:shd w:val="clear" w:color="auto" w:fill="E7E6E6"/>
          </w:tcPr>
          <w:p>
            <w:pPr>
              <w:spacing w:after="0"/>
              <w:rPr>
                <w:sz w:val="13"/>
                <w:szCs w:val="13"/>
                <w:color w:val="auto"/>
              </w:rPr>
            </w:pPr>
          </w:p>
        </w:tc>
        <w:tc>
          <w:tcPr>
            <w:tcW w:w="580" w:type="dxa"/>
            <w:vAlign w:val="bottom"/>
            <w:tcBorders>
              <w:bottom w:val="single" w:sz="8" w:color="auto"/>
            </w:tcBorders>
            <w:gridSpan w:val="2"/>
            <w:shd w:val="clear" w:color="auto" w:fill="E7E6E6"/>
          </w:tcPr>
          <w:p>
            <w:pPr>
              <w:ind w:left="80"/>
              <w:spacing w:after="0"/>
              <w:rPr>
                <w:sz w:val="20"/>
                <w:szCs w:val="20"/>
                <w:color w:val="auto"/>
              </w:rPr>
            </w:pPr>
            <w:r>
              <w:rPr>
                <w:rFonts w:ascii="Arial" w:cs="Arial" w:eastAsia="Arial" w:hAnsi="Arial"/>
                <w:sz w:val="13"/>
                <w:szCs w:val="13"/>
                <w:color w:val="auto"/>
              </w:rPr>
              <w:t>2/26/25</w:t>
            </w:r>
          </w:p>
        </w:tc>
        <w:tc>
          <w:tcPr>
            <w:tcW w:w="1240" w:type="dxa"/>
            <w:vAlign w:val="bottom"/>
            <w:tcBorders>
              <w:bottom w:val="single" w:sz="8" w:color="auto"/>
            </w:tcBorders>
            <w:shd w:val="clear" w:color="auto" w:fill="E7E6E6"/>
          </w:tcPr>
          <w:p>
            <w:pPr>
              <w:spacing w:after="0"/>
              <w:rPr>
                <w:sz w:val="20"/>
                <w:szCs w:val="20"/>
                <w:color w:val="auto"/>
              </w:rPr>
            </w:pPr>
            <w:r>
              <w:rPr>
                <w:rFonts w:ascii="Arial" w:cs="Arial" w:eastAsia="Arial" w:hAnsi="Arial"/>
                <w:sz w:val="13"/>
                <w:szCs w:val="13"/>
                <w:color w:val="auto"/>
              </w:rPr>
              <w:t>Shares</w:t>
            </w:r>
          </w:p>
        </w:tc>
        <w:tc>
          <w:tcPr>
            <w:tcW w:w="94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gridSpan w:val="2"/>
            <w:shd w:val="clear" w:color="auto" w:fill="E7E6E6"/>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0</w:t>
            </w:r>
          </w:p>
        </w:tc>
        <w:tc>
          <w:tcPr>
            <w:tcW w:w="80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625</w:t>
            </w:r>
          </w:p>
        </w:tc>
        <w:tc>
          <w:tcPr>
            <w:tcW w:w="720" w:type="dxa"/>
            <w:vAlign w:val="bottom"/>
            <w:tcBorders>
              <w:bottom w:val="single" w:sz="8" w:color="auto"/>
            </w:tcBorders>
            <w:gridSpan w:val="2"/>
            <w:shd w:val="clear" w:color="auto" w:fill="E7E6E6"/>
          </w:tcPr>
          <w:p>
            <w:pPr>
              <w:jc w:val="right"/>
              <w:ind w:right="60"/>
              <w:spacing w:after="0"/>
              <w:rPr>
                <w:sz w:val="20"/>
                <w:szCs w:val="20"/>
                <w:color w:val="auto"/>
              </w:rPr>
            </w:pPr>
            <w:r>
              <w:rPr>
                <w:rFonts w:ascii="Arial" w:cs="Arial" w:eastAsia="Arial" w:hAnsi="Arial"/>
                <w:sz w:val="13"/>
                <w:szCs w:val="13"/>
                <w:color w:val="auto"/>
              </w:rPr>
              <w:t>1,250</w:t>
            </w:r>
          </w:p>
        </w:tc>
        <w:tc>
          <w:tcPr>
            <w:tcW w:w="78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E7E6E6"/>
          </w:tcPr>
          <w:p>
            <w:pPr>
              <w:jc w:val="right"/>
              <w:ind w:right="74"/>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1,145,119</w:t>
            </w:r>
          </w:p>
        </w:tc>
      </w:tr>
      <w:tr>
        <w:trPr>
          <w:trHeight w:val="134"/>
        </w:trPr>
        <w:tc>
          <w:tcPr>
            <w:tcW w:w="1460" w:type="dxa"/>
            <w:vAlign w:val="bottom"/>
            <w:shd w:val="clear" w:color="auto" w:fill="E7E6E6"/>
          </w:tcPr>
          <w:p>
            <w:pPr>
              <w:spacing w:after="0"/>
              <w:rPr>
                <w:sz w:val="11"/>
                <w:szCs w:val="11"/>
                <w:color w:val="auto"/>
              </w:rPr>
            </w:pPr>
          </w:p>
        </w:tc>
        <w:tc>
          <w:tcPr>
            <w:tcW w:w="540" w:type="dxa"/>
            <w:vAlign w:val="bottom"/>
            <w:shd w:val="clear" w:color="auto" w:fill="E7E6E6"/>
          </w:tcPr>
          <w:p>
            <w:pPr>
              <w:spacing w:after="0"/>
              <w:rPr>
                <w:sz w:val="11"/>
                <w:szCs w:val="11"/>
                <w:color w:val="auto"/>
              </w:rPr>
            </w:pPr>
          </w:p>
        </w:tc>
        <w:tc>
          <w:tcPr>
            <w:tcW w:w="40" w:type="dxa"/>
            <w:vAlign w:val="bottom"/>
            <w:shd w:val="clear" w:color="auto" w:fill="E7E6E6"/>
          </w:tcPr>
          <w:p>
            <w:pPr>
              <w:spacing w:after="0"/>
              <w:rPr>
                <w:sz w:val="11"/>
                <w:szCs w:val="11"/>
                <w:color w:val="auto"/>
              </w:rPr>
            </w:pPr>
          </w:p>
        </w:tc>
        <w:tc>
          <w:tcPr>
            <w:tcW w:w="1240" w:type="dxa"/>
            <w:vAlign w:val="bottom"/>
            <w:shd w:val="clear" w:color="auto" w:fill="E7E6E6"/>
          </w:tcPr>
          <w:p>
            <w:pPr>
              <w:spacing w:after="0" w:line="134" w:lineRule="exact"/>
              <w:rPr>
                <w:sz w:val="20"/>
                <w:szCs w:val="20"/>
                <w:color w:val="auto"/>
              </w:rPr>
            </w:pPr>
            <w:r>
              <w:rPr>
                <w:rFonts w:ascii="Arial" w:cs="Arial" w:eastAsia="Arial" w:hAnsi="Arial"/>
                <w:sz w:val="13"/>
                <w:szCs w:val="13"/>
                <w:color w:val="auto"/>
              </w:rPr>
              <w:t>WTM</w:t>
            </w:r>
          </w:p>
        </w:tc>
        <w:tc>
          <w:tcPr>
            <w:tcW w:w="940" w:type="dxa"/>
            <w:vAlign w:val="bottom"/>
            <w:shd w:val="clear" w:color="auto" w:fill="E7E6E6"/>
          </w:tcPr>
          <w:p>
            <w:pPr>
              <w:spacing w:after="0"/>
              <w:rPr>
                <w:sz w:val="11"/>
                <w:szCs w:val="11"/>
                <w:color w:val="auto"/>
              </w:rPr>
            </w:pPr>
          </w:p>
        </w:tc>
        <w:tc>
          <w:tcPr>
            <w:tcW w:w="800" w:type="dxa"/>
            <w:vAlign w:val="bottom"/>
            <w:shd w:val="clear" w:color="auto" w:fill="E7E6E6"/>
          </w:tcPr>
          <w:p>
            <w:pPr>
              <w:spacing w:after="0"/>
              <w:rPr>
                <w:sz w:val="11"/>
                <w:szCs w:val="11"/>
                <w:color w:val="auto"/>
              </w:rPr>
            </w:pPr>
          </w:p>
        </w:tc>
        <w:tc>
          <w:tcPr>
            <w:tcW w:w="740" w:type="dxa"/>
            <w:vAlign w:val="bottom"/>
            <w:shd w:val="clear" w:color="auto" w:fill="E7E6E6"/>
          </w:tcPr>
          <w:p>
            <w:pPr>
              <w:spacing w:after="0"/>
              <w:rPr>
                <w:sz w:val="11"/>
                <w:szCs w:val="11"/>
                <w:color w:val="auto"/>
              </w:rPr>
            </w:pPr>
          </w:p>
        </w:tc>
        <w:tc>
          <w:tcPr>
            <w:tcW w:w="120" w:type="dxa"/>
            <w:vAlign w:val="bottom"/>
            <w:shd w:val="clear" w:color="auto" w:fill="E7E6E6"/>
          </w:tcPr>
          <w:p>
            <w:pPr>
              <w:spacing w:after="0"/>
              <w:rPr>
                <w:sz w:val="11"/>
                <w:szCs w:val="11"/>
                <w:color w:val="auto"/>
              </w:rPr>
            </w:pPr>
          </w:p>
        </w:tc>
        <w:tc>
          <w:tcPr>
            <w:tcW w:w="780" w:type="dxa"/>
            <w:vAlign w:val="bottom"/>
            <w:shd w:val="clear" w:color="auto" w:fill="E7E6E6"/>
          </w:tcPr>
          <w:p>
            <w:pPr>
              <w:spacing w:after="0"/>
              <w:rPr>
                <w:sz w:val="11"/>
                <w:szCs w:val="11"/>
                <w:color w:val="auto"/>
              </w:rPr>
            </w:pPr>
          </w:p>
        </w:tc>
        <w:tc>
          <w:tcPr>
            <w:tcW w:w="800" w:type="dxa"/>
            <w:vAlign w:val="bottom"/>
            <w:shd w:val="clear" w:color="auto" w:fill="E7E6E6"/>
          </w:tcPr>
          <w:p>
            <w:pPr>
              <w:spacing w:after="0"/>
              <w:rPr>
                <w:sz w:val="11"/>
                <w:szCs w:val="11"/>
                <w:color w:val="auto"/>
              </w:rPr>
            </w:pPr>
          </w:p>
        </w:tc>
        <w:tc>
          <w:tcPr>
            <w:tcW w:w="660" w:type="dxa"/>
            <w:vAlign w:val="bottom"/>
            <w:shd w:val="clear" w:color="auto" w:fill="E7E6E6"/>
          </w:tcPr>
          <w:p>
            <w:pPr>
              <w:spacing w:after="0"/>
              <w:rPr>
                <w:sz w:val="11"/>
                <w:szCs w:val="11"/>
                <w:color w:val="auto"/>
              </w:rPr>
            </w:pPr>
          </w:p>
        </w:tc>
        <w:tc>
          <w:tcPr>
            <w:tcW w:w="60" w:type="dxa"/>
            <w:vAlign w:val="bottom"/>
            <w:shd w:val="clear" w:color="auto" w:fill="E7E6E6"/>
          </w:tcPr>
          <w:p>
            <w:pPr>
              <w:spacing w:after="0"/>
              <w:rPr>
                <w:sz w:val="11"/>
                <w:szCs w:val="11"/>
                <w:color w:val="auto"/>
              </w:rPr>
            </w:pPr>
          </w:p>
        </w:tc>
        <w:tc>
          <w:tcPr>
            <w:tcW w:w="780" w:type="dxa"/>
            <w:vAlign w:val="bottom"/>
            <w:shd w:val="clear" w:color="auto" w:fill="E7E6E6"/>
          </w:tcPr>
          <w:p>
            <w:pPr>
              <w:spacing w:after="0"/>
              <w:rPr>
                <w:sz w:val="11"/>
                <w:szCs w:val="11"/>
                <w:color w:val="auto"/>
              </w:rPr>
            </w:pPr>
          </w:p>
        </w:tc>
        <w:tc>
          <w:tcPr>
            <w:tcW w:w="860" w:type="dxa"/>
            <w:vAlign w:val="bottom"/>
            <w:shd w:val="clear" w:color="auto" w:fill="E7E6E6"/>
          </w:tcPr>
          <w:p>
            <w:pPr>
              <w:spacing w:after="0"/>
              <w:rPr>
                <w:sz w:val="11"/>
                <w:szCs w:val="11"/>
                <w:color w:val="auto"/>
              </w:rPr>
            </w:pPr>
          </w:p>
        </w:tc>
        <w:tc>
          <w:tcPr>
            <w:tcW w:w="700" w:type="dxa"/>
            <w:vAlign w:val="bottom"/>
            <w:shd w:val="clear" w:color="auto" w:fill="E7E6E6"/>
          </w:tcPr>
          <w:p>
            <w:pPr>
              <w:spacing w:after="0"/>
              <w:rPr>
                <w:sz w:val="11"/>
                <w:szCs w:val="11"/>
                <w:color w:val="auto"/>
              </w:rPr>
            </w:pPr>
          </w:p>
        </w:tc>
        <w:tc>
          <w:tcPr>
            <w:tcW w:w="720" w:type="dxa"/>
            <w:vAlign w:val="bottom"/>
            <w:shd w:val="clear" w:color="auto" w:fill="E7E6E6"/>
          </w:tcPr>
          <w:p>
            <w:pPr>
              <w:spacing w:after="0"/>
              <w:rPr>
                <w:sz w:val="11"/>
                <w:szCs w:val="11"/>
                <w:color w:val="auto"/>
              </w:rPr>
            </w:pPr>
          </w:p>
        </w:tc>
      </w:tr>
      <w:tr>
        <w:trPr>
          <w:trHeight w:val="157"/>
        </w:trPr>
        <w:tc>
          <w:tcPr>
            <w:tcW w:w="1460" w:type="dxa"/>
            <w:vAlign w:val="bottom"/>
            <w:tcBorders>
              <w:bottom w:val="single" w:sz="8" w:color="auto"/>
            </w:tcBorders>
            <w:shd w:val="clear" w:color="auto" w:fill="E7E6E6"/>
          </w:tcPr>
          <w:p>
            <w:pPr>
              <w:spacing w:after="0"/>
              <w:rPr>
                <w:sz w:val="13"/>
                <w:szCs w:val="13"/>
                <w:color w:val="auto"/>
              </w:rPr>
            </w:pPr>
          </w:p>
        </w:tc>
        <w:tc>
          <w:tcPr>
            <w:tcW w:w="580" w:type="dxa"/>
            <w:vAlign w:val="bottom"/>
            <w:tcBorders>
              <w:bottom w:val="single" w:sz="8" w:color="auto"/>
            </w:tcBorders>
            <w:gridSpan w:val="2"/>
            <w:shd w:val="clear" w:color="auto" w:fill="E7E6E6"/>
          </w:tcPr>
          <w:p>
            <w:pPr>
              <w:ind w:left="80"/>
              <w:spacing w:after="0"/>
              <w:rPr>
                <w:sz w:val="20"/>
                <w:szCs w:val="20"/>
                <w:color w:val="auto"/>
              </w:rPr>
            </w:pPr>
            <w:r>
              <w:rPr>
                <w:rFonts w:ascii="Arial" w:cs="Arial" w:eastAsia="Arial" w:hAnsi="Arial"/>
                <w:sz w:val="13"/>
                <w:szCs w:val="13"/>
                <w:color w:val="auto"/>
              </w:rPr>
              <w:t>2/26/25</w:t>
            </w:r>
          </w:p>
        </w:tc>
        <w:tc>
          <w:tcPr>
            <w:tcW w:w="1240" w:type="dxa"/>
            <w:vAlign w:val="bottom"/>
            <w:tcBorders>
              <w:bottom w:val="single" w:sz="8" w:color="auto"/>
            </w:tcBorders>
            <w:shd w:val="clear" w:color="auto" w:fill="E7E6E6"/>
          </w:tcPr>
          <w:p>
            <w:pPr>
              <w:spacing w:after="0"/>
              <w:rPr>
                <w:sz w:val="20"/>
                <w:szCs w:val="20"/>
                <w:color w:val="auto"/>
              </w:rPr>
            </w:pPr>
            <w:r>
              <w:rPr>
                <w:rFonts w:ascii="Arial" w:cs="Arial" w:eastAsia="Arial" w:hAnsi="Arial"/>
                <w:sz w:val="13"/>
                <w:szCs w:val="13"/>
                <w:color w:val="auto"/>
              </w:rPr>
              <w:t>Restricted Shares</w:t>
            </w:r>
          </w:p>
        </w:tc>
        <w:tc>
          <w:tcPr>
            <w:tcW w:w="94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gridSpan w:val="2"/>
            <w:shd w:val="clear" w:color="auto" w:fill="E7E6E6"/>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gridSpan w:val="2"/>
            <w:shd w:val="clear" w:color="auto" w:fill="E7E6E6"/>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625</w:t>
            </w:r>
          </w:p>
        </w:tc>
        <w:tc>
          <w:tcPr>
            <w:tcW w:w="860" w:type="dxa"/>
            <w:vAlign w:val="bottom"/>
            <w:tcBorders>
              <w:bottom w:val="single" w:sz="8" w:color="auto"/>
            </w:tcBorders>
            <w:shd w:val="clear" w:color="auto" w:fill="E7E6E6"/>
          </w:tcPr>
          <w:p>
            <w:pPr>
              <w:jc w:val="right"/>
              <w:ind w:right="74"/>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3"/>
                <w:szCs w:val="13"/>
                <w:color w:val="auto"/>
              </w:rPr>
              <w:t>1,145,119</w:t>
            </w:r>
          </w:p>
        </w:tc>
      </w:tr>
    </w:tbl>
    <w:p>
      <w:pPr>
        <w:spacing w:after="0" w:line="187" w:lineRule="exact"/>
        <w:rPr>
          <w:sz w:val="20"/>
          <w:szCs w:val="20"/>
          <w:color w:val="auto"/>
        </w:rPr>
      </w:pPr>
    </w:p>
    <w:p>
      <w:pPr>
        <w:ind w:left="600" w:right="460" w:hanging="302"/>
        <w:spacing w:after="0" w:line="259" w:lineRule="auto"/>
        <w:tabs>
          <w:tab w:leader="none" w:pos="6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These columns indicate the range of payouts (0%, 100% and 200%) targeted for fiscal 2025 performance under our Annual Incentive Bonus Plan as described in “Compensation Discussion and Analysis”. The actual payout with respect to 2025 for each Named Executive Officer is shown in the Summary Compensation Table in the column titled “Non-Equity Incentive Plan Compensation.”</w:t>
      </w:r>
    </w:p>
    <w:p>
      <w:pPr>
        <w:spacing w:after="0" w:line="138" w:lineRule="exact"/>
        <w:rPr>
          <w:rFonts w:ascii="Arial" w:cs="Arial" w:eastAsia="Arial" w:hAnsi="Arial"/>
          <w:sz w:val="15"/>
          <w:szCs w:val="15"/>
          <w:color w:val="auto"/>
        </w:rPr>
      </w:pPr>
    </w:p>
    <w:p>
      <w:pPr>
        <w:ind w:left="600" w:right="440" w:hanging="302"/>
        <w:spacing w:after="0" w:line="253" w:lineRule="auto"/>
        <w:tabs>
          <w:tab w:leader="none" w:pos="6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Messrs. Rountree, Caffrey, Harrison and Seelig and Ms. Hildreth were granted WTM performance shares for the 2025-2027 performance cycle. For the 2025-2027 performance cycle, the targeted performance goal for full payment of outstanding WTM performance shares granted under the WTM Incentive Plan for all NEOs is an 11.5% average growth in CVPS. Average growth of 6% or less would result in no payout and average growth of 17% or more would result in a payout of 200%.</w:t>
      </w:r>
    </w:p>
    <w:p>
      <w:pPr>
        <w:spacing w:after="0" w:line="143" w:lineRule="exact"/>
        <w:rPr>
          <w:rFonts w:ascii="Arial" w:cs="Arial" w:eastAsia="Arial" w:hAnsi="Arial"/>
          <w:sz w:val="15"/>
          <w:szCs w:val="15"/>
          <w:color w:val="auto"/>
        </w:rPr>
      </w:pPr>
    </w:p>
    <w:p>
      <w:pPr>
        <w:ind w:left="600" w:hanging="302"/>
        <w:spacing w:after="0"/>
        <w:tabs>
          <w:tab w:leader="none" w:pos="6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Messrs. Rountree, Caffrey, Harrison and Seelig and Ms. Hildreth were granted WTM restricted shares that vest on January 1, 2028.</w:t>
      </w:r>
    </w:p>
    <w:p>
      <w:pPr>
        <w:spacing w:after="0" w:line="175" w:lineRule="exact"/>
        <w:rPr>
          <w:rFonts w:ascii="Arial" w:cs="Arial" w:eastAsia="Arial" w:hAnsi="Arial"/>
          <w:sz w:val="15"/>
          <w:szCs w:val="15"/>
          <w:color w:val="auto"/>
        </w:rPr>
      </w:pPr>
    </w:p>
    <w:p>
      <w:pPr>
        <w:ind w:left="600" w:right="540" w:hanging="302"/>
        <w:spacing w:after="0" w:line="259" w:lineRule="auto"/>
        <w:tabs>
          <w:tab w:leader="none" w:pos="6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Represents the grant date fair value (based on a market price on the date of grant) as determined in accordance with ASC Topic 718 without regard to forfeitures. Assuming a maximum 200% payout, the grant date fair value of the WTM performance shares granted to Messrs. Rountree, Caffrey, Harrison and Seelig and Ms. Hildreth would be $5,954,618, $3,755,990, $3,297,942, $3,023,114 and $2,290,238.</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790"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91"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The following table presents outstanding equity awards under the WTM Incentive Plan, except as otherwise noted, to the Named Executive Officers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714311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2"/>
          </w:tcPr>
          <w:p>
            <w:pPr>
              <w:jc w:val="right"/>
              <w:ind w:right="494"/>
              <w:spacing w:after="0"/>
              <w:rPr>
                <w:sz w:val="20"/>
                <w:szCs w:val="20"/>
                <w:color w:val="auto"/>
              </w:rPr>
            </w:pPr>
            <w:r>
              <w:rPr>
                <w:rFonts w:ascii="Arial" w:cs="Arial" w:eastAsia="Arial" w:hAnsi="Arial"/>
                <w:sz w:val="13"/>
                <w:szCs w:val="13"/>
                <w:color w:val="auto"/>
              </w:rPr>
              <w:t>Option Awards</w:t>
            </w:r>
          </w:p>
        </w:tc>
        <w:tc>
          <w:tcPr>
            <w:tcW w:w="7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3"/>
                <w:szCs w:val="13"/>
                <w:color w:val="auto"/>
              </w:rPr>
              <w:t>Stock Awards (a)(b)(c)</w:t>
            </w:r>
          </w:p>
        </w:tc>
        <w:tc>
          <w:tcPr>
            <w:tcW w:w="9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34"/>
        </w:trPr>
        <w:tc>
          <w:tcPr>
            <w:tcW w:w="1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tcPr>
          <w:p>
            <w:pPr>
              <w:jc w:val="right"/>
              <w:spacing w:after="0" w:line="134" w:lineRule="exact"/>
              <w:rPr>
                <w:sz w:val="20"/>
                <w:szCs w:val="20"/>
                <w:color w:val="auto"/>
              </w:rPr>
            </w:pPr>
            <w:r>
              <w:rPr>
                <w:rFonts w:ascii="Arial" w:cs="Arial" w:eastAsia="Arial" w:hAnsi="Arial"/>
                <w:sz w:val="13"/>
                <w:szCs w:val="13"/>
                <w:color w:val="auto"/>
              </w:rPr>
              <w:t>Equity</w:t>
            </w:r>
          </w:p>
        </w:tc>
        <w:tc>
          <w:tcPr>
            <w:tcW w:w="20" w:type="dxa"/>
            <w:vAlign w:val="bottom"/>
          </w:tcPr>
          <w:p>
            <w:pPr>
              <w:spacing w:after="0"/>
              <w:rPr>
                <w:sz w:val="11"/>
                <w:szCs w:val="11"/>
                <w:color w:val="auto"/>
              </w:rPr>
            </w:pPr>
          </w:p>
        </w:tc>
      </w:tr>
      <w:tr>
        <w:trPr>
          <w:trHeight w:val="149"/>
        </w:trPr>
        <w:tc>
          <w:tcPr>
            <w:tcW w:w="1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Pr>
          <w:p>
            <w:pPr>
              <w:jc w:val="right"/>
              <w:ind w:right="114"/>
              <w:spacing w:after="0"/>
              <w:rPr>
                <w:sz w:val="20"/>
                <w:szCs w:val="20"/>
                <w:color w:val="auto"/>
              </w:rPr>
            </w:pPr>
            <w:r>
              <w:rPr>
                <w:rFonts w:ascii="Arial" w:cs="Arial" w:eastAsia="Arial" w:hAnsi="Arial"/>
                <w:sz w:val="13"/>
                <w:szCs w:val="13"/>
                <w:color w:val="auto"/>
              </w:rPr>
              <w:t>Equity</w:t>
            </w:r>
          </w:p>
        </w:tc>
        <w:tc>
          <w:tcPr>
            <w:tcW w:w="980" w:type="dxa"/>
            <w:vAlign w:val="bottom"/>
            <w:gridSpan w:val="2"/>
          </w:tcPr>
          <w:p>
            <w:pPr>
              <w:jc w:val="right"/>
              <w:ind w:right="20"/>
              <w:spacing w:after="0"/>
              <w:rPr>
                <w:sz w:val="20"/>
                <w:szCs w:val="20"/>
                <w:color w:val="auto"/>
              </w:rPr>
            </w:pPr>
            <w:r>
              <w:rPr>
                <w:rFonts w:ascii="Arial" w:cs="Arial" w:eastAsia="Arial" w:hAnsi="Arial"/>
                <w:sz w:val="13"/>
                <w:szCs w:val="13"/>
                <w:color w:val="auto"/>
              </w:rPr>
              <w:t>Incentive</w:t>
            </w:r>
          </w:p>
        </w:tc>
      </w:tr>
      <w:tr>
        <w:trPr>
          <w:trHeight w:val="149"/>
        </w:trPr>
        <w:tc>
          <w:tcPr>
            <w:tcW w:w="1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jc w:val="right"/>
              <w:ind w:right="54"/>
              <w:spacing w:after="0"/>
              <w:rPr>
                <w:sz w:val="20"/>
                <w:szCs w:val="20"/>
                <w:color w:val="auto"/>
              </w:rPr>
            </w:pPr>
            <w:r>
              <w:rPr>
                <w:rFonts w:ascii="Arial" w:cs="Arial" w:eastAsia="Arial" w:hAnsi="Arial"/>
                <w:sz w:val="13"/>
                <w:szCs w:val="13"/>
                <w:color w:val="auto"/>
              </w:rPr>
              <w:t>Equity</w:t>
            </w: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Pr>
          <w:p>
            <w:pPr>
              <w:jc w:val="right"/>
              <w:ind w:right="114"/>
              <w:spacing w:after="0"/>
              <w:rPr>
                <w:sz w:val="20"/>
                <w:szCs w:val="20"/>
                <w:color w:val="auto"/>
              </w:rPr>
            </w:pPr>
            <w:r>
              <w:rPr>
                <w:rFonts w:ascii="Arial" w:cs="Arial" w:eastAsia="Arial" w:hAnsi="Arial"/>
                <w:sz w:val="13"/>
                <w:szCs w:val="13"/>
                <w:color w:val="auto"/>
              </w:rPr>
              <w:t>Incentive Plan</w:t>
            </w: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Plan Awards:</w:t>
            </w:r>
          </w:p>
        </w:tc>
      </w:tr>
      <w:tr>
        <w:trPr>
          <w:trHeight w:val="149"/>
        </w:trPr>
        <w:tc>
          <w:tcPr>
            <w:tcW w:w="1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jc w:val="right"/>
              <w:ind w:right="54"/>
              <w:spacing w:after="0"/>
              <w:rPr>
                <w:sz w:val="20"/>
                <w:szCs w:val="20"/>
                <w:color w:val="auto"/>
              </w:rPr>
            </w:pPr>
            <w:r>
              <w:rPr>
                <w:rFonts w:ascii="Arial" w:cs="Arial" w:eastAsia="Arial" w:hAnsi="Arial"/>
                <w:sz w:val="13"/>
                <w:szCs w:val="13"/>
                <w:color w:val="auto"/>
              </w:rPr>
              <w:t>Incentive Plan</w:t>
            </w: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Pr>
          <w:p>
            <w:pPr>
              <w:jc w:val="right"/>
              <w:ind w:right="114"/>
              <w:spacing w:after="0"/>
              <w:rPr>
                <w:sz w:val="20"/>
                <w:szCs w:val="20"/>
                <w:color w:val="auto"/>
              </w:rPr>
            </w:pPr>
            <w:r>
              <w:rPr>
                <w:rFonts w:ascii="Arial" w:cs="Arial" w:eastAsia="Arial" w:hAnsi="Arial"/>
                <w:sz w:val="13"/>
                <w:szCs w:val="13"/>
                <w:color w:val="auto"/>
              </w:rPr>
              <w:t>Awards:</w:t>
            </w:r>
          </w:p>
        </w:tc>
        <w:tc>
          <w:tcPr>
            <w:tcW w:w="980" w:type="dxa"/>
            <w:vAlign w:val="bottom"/>
            <w:gridSpan w:val="2"/>
          </w:tcPr>
          <w:p>
            <w:pPr>
              <w:jc w:val="right"/>
              <w:ind w:right="20"/>
              <w:spacing w:after="0"/>
              <w:rPr>
                <w:sz w:val="20"/>
                <w:szCs w:val="20"/>
                <w:color w:val="auto"/>
              </w:rPr>
            </w:pPr>
            <w:r>
              <w:rPr>
                <w:rFonts w:ascii="Arial" w:cs="Arial" w:eastAsia="Arial" w:hAnsi="Arial"/>
                <w:sz w:val="13"/>
                <w:szCs w:val="13"/>
                <w:color w:val="auto"/>
              </w:rPr>
              <w:t>Market or</w:t>
            </w:r>
          </w:p>
        </w:tc>
      </w:tr>
      <w:tr>
        <w:trPr>
          <w:trHeight w:val="149"/>
        </w:trPr>
        <w:tc>
          <w:tcPr>
            <w:tcW w:w="1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jc w:val="right"/>
              <w:ind w:right="54"/>
              <w:spacing w:after="0"/>
              <w:rPr>
                <w:sz w:val="20"/>
                <w:szCs w:val="20"/>
                <w:color w:val="auto"/>
              </w:rPr>
            </w:pPr>
            <w:r>
              <w:rPr>
                <w:rFonts w:ascii="Arial" w:cs="Arial" w:eastAsia="Arial" w:hAnsi="Arial"/>
                <w:sz w:val="13"/>
                <w:szCs w:val="13"/>
                <w:color w:val="auto"/>
              </w:rPr>
              <w:t>Awards:</w:t>
            </w: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Market</w:t>
            </w:r>
          </w:p>
        </w:tc>
        <w:tc>
          <w:tcPr>
            <w:tcW w:w="1040" w:type="dxa"/>
            <w:vAlign w:val="bottom"/>
          </w:tcPr>
          <w:p>
            <w:pPr>
              <w:jc w:val="right"/>
              <w:ind w:right="114"/>
              <w:spacing w:after="0"/>
              <w:rPr>
                <w:sz w:val="20"/>
                <w:szCs w:val="20"/>
                <w:color w:val="auto"/>
              </w:rPr>
            </w:pPr>
            <w:r>
              <w:rPr>
                <w:rFonts w:ascii="Arial" w:cs="Arial" w:eastAsia="Arial" w:hAnsi="Arial"/>
                <w:sz w:val="13"/>
                <w:szCs w:val="13"/>
                <w:color w:val="auto"/>
              </w:rPr>
              <w:t>Number of</w:t>
            </w:r>
          </w:p>
        </w:tc>
        <w:tc>
          <w:tcPr>
            <w:tcW w:w="980" w:type="dxa"/>
            <w:vAlign w:val="bottom"/>
            <w:gridSpan w:val="2"/>
          </w:tcPr>
          <w:p>
            <w:pPr>
              <w:jc w:val="right"/>
              <w:ind w:right="20"/>
              <w:spacing w:after="0"/>
              <w:rPr>
                <w:sz w:val="20"/>
                <w:szCs w:val="20"/>
                <w:color w:val="auto"/>
              </w:rPr>
            </w:pPr>
            <w:r>
              <w:rPr>
                <w:rFonts w:ascii="Arial" w:cs="Arial" w:eastAsia="Arial" w:hAnsi="Arial"/>
                <w:sz w:val="13"/>
                <w:szCs w:val="13"/>
                <w:color w:val="auto"/>
              </w:rPr>
              <w:t>Payout Value</w:t>
            </w:r>
          </w:p>
        </w:tc>
      </w:tr>
      <w:tr>
        <w:trPr>
          <w:trHeight w:val="149"/>
        </w:trPr>
        <w:tc>
          <w:tcPr>
            <w:tcW w:w="1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jc w:val="right"/>
              <w:ind w:right="54"/>
              <w:spacing w:after="0"/>
              <w:rPr>
                <w:sz w:val="20"/>
                <w:szCs w:val="20"/>
                <w:color w:val="auto"/>
              </w:rPr>
            </w:pPr>
            <w:r>
              <w:rPr>
                <w:rFonts w:ascii="Arial" w:cs="Arial" w:eastAsia="Arial" w:hAnsi="Arial"/>
                <w:sz w:val="13"/>
                <w:szCs w:val="13"/>
                <w:color w:val="auto"/>
              </w:rPr>
              <w:t>Number of</w:t>
            </w: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14"/>
              <w:spacing w:after="0"/>
              <w:rPr>
                <w:sz w:val="20"/>
                <w:szCs w:val="20"/>
                <w:color w:val="auto"/>
              </w:rPr>
            </w:pPr>
            <w:r>
              <w:rPr>
                <w:rFonts w:ascii="Arial" w:cs="Arial" w:eastAsia="Arial" w:hAnsi="Arial"/>
                <w:sz w:val="13"/>
                <w:szCs w:val="13"/>
                <w:color w:val="auto"/>
              </w:rPr>
              <w:t>Number of</w:t>
            </w:r>
          </w:p>
        </w:tc>
        <w:tc>
          <w:tcPr>
            <w:tcW w:w="740" w:type="dxa"/>
            <w:vAlign w:val="bottom"/>
          </w:tcPr>
          <w:p>
            <w:pPr>
              <w:jc w:val="right"/>
              <w:spacing w:after="0"/>
              <w:rPr>
                <w:sz w:val="20"/>
                <w:szCs w:val="20"/>
                <w:color w:val="auto"/>
              </w:rPr>
            </w:pPr>
            <w:r>
              <w:rPr>
                <w:rFonts w:ascii="Arial" w:cs="Arial" w:eastAsia="Arial" w:hAnsi="Arial"/>
                <w:sz w:val="13"/>
                <w:szCs w:val="13"/>
                <w:color w:val="auto"/>
              </w:rPr>
              <w:t>Value of</w:t>
            </w:r>
          </w:p>
        </w:tc>
        <w:tc>
          <w:tcPr>
            <w:tcW w:w="1040" w:type="dxa"/>
            <w:vAlign w:val="bottom"/>
          </w:tcPr>
          <w:p>
            <w:pPr>
              <w:jc w:val="right"/>
              <w:ind w:right="114"/>
              <w:spacing w:after="0"/>
              <w:rPr>
                <w:sz w:val="20"/>
                <w:szCs w:val="20"/>
                <w:color w:val="auto"/>
              </w:rPr>
            </w:pPr>
            <w:r>
              <w:rPr>
                <w:rFonts w:ascii="Arial" w:cs="Arial" w:eastAsia="Arial" w:hAnsi="Arial"/>
                <w:sz w:val="13"/>
                <w:szCs w:val="13"/>
                <w:color w:val="auto"/>
              </w:rPr>
              <w:t>Unearned</w:t>
            </w: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of Unearned</w:t>
            </w:r>
          </w:p>
        </w:tc>
      </w:tr>
      <w:tr>
        <w:trPr>
          <w:trHeight w:val="149"/>
        </w:trPr>
        <w:tc>
          <w:tcPr>
            <w:tcW w:w="1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Number of</w:t>
            </w:r>
          </w:p>
        </w:tc>
        <w:tc>
          <w:tcPr>
            <w:tcW w:w="1160" w:type="dxa"/>
            <w:vAlign w:val="bottom"/>
          </w:tcPr>
          <w:p>
            <w:pPr>
              <w:jc w:val="right"/>
              <w:ind w:right="54"/>
              <w:spacing w:after="0"/>
              <w:rPr>
                <w:sz w:val="20"/>
                <w:szCs w:val="20"/>
                <w:color w:val="auto"/>
              </w:rPr>
            </w:pPr>
            <w:r>
              <w:rPr>
                <w:rFonts w:ascii="Arial" w:cs="Arial" w:eastAsia="Arial" w:hAnsi="Arial"/>
                <w:sz w:val="13"/>
                <w:szCs w:val="13"/>
                <w:color w:val="auto"/>
              </w:rPr>
              <w:t>Number of</w:t>
            </w:r>
          </w:p>
        </w:tc>
        <w:tc>
          <w:tcPr>
            <w:tcW w:w="1020" w:type="dxa"/>
            <w:vAlign w:val="bottom"/>
          </w:tcPr>
          <w:p>
            <w:pPr>
              <w:jc w:val="right"/>
              <w:ind w:right="34"/>
              <w:spacing w:after="0"/>
              <w:rPr>
                <w:sz w:val="20"/>
                <w:szCs w:val="20"/>
                <w:color w:val="auto"/>
              </w:rPr>
            </w:pPr>
            <w:r>
              <w:rPr>
                <w:rFonts w:ascii="Arial" w:cs="Arial" w:eastAsia="Arial" w:hAnsi="Arial"/>
                <w:sz w:val="13"/>
                <w:szCs w:val="13"/>
                <w:color w:val="auto"/>
              </w:rPr>
              <w:t>Securities</w:t>
            </w: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14"/>
              <w:spacing w:after="0"/>
              <w:rPr>
                <w:sz w:val="20"/>
                <w:szCs w:val="20"/>
                <w:color w:val="auto"/>
              </w:rPr>
            </w:pPr>
            <w:r>
              <w:rPr>
                <w:rFonts w:ascii="Arial" w:cs="Arial" w:eastAsia="Arial" w:hAnsi="Arial"/>
                <w:sz w:val="13"/>
                <w:szCs w:val="13"/>
                <w:color w:val="auto"/>
              </w:rPr>
              <w:t>Shares or</w:t>
            </w:r>
          </w:p>
        </w:tc>
        <w:tc>
          <w:tcPr>
            <w:tcW w:w="740" w:type="dxa"/>
            <w:vAlign w:val="bottom"/>
          </w:tcPr>
          <w:p>
            <w:pPr>
              <w:jc w:val="right"/>
              <w:spacing w:after="0"/>
              <w:rPr>
                <w:sz w:val="20"/>
                <w:szCs w:val="20"/>
                <w:color w:val="auto"/>
              </w:rPr>
            </w:pPr>
            <w:r>
              <w:rPr>
                <w:rFonts w:ascii="Arial" w:cs="Arial" w:eastAsia="Arial" w:hAnsi="Arial"/>
                <w:sz w:val="13"/>
                <w:szCs w:val="13"/>
                <w:color w:val="auto"/>
              </w:rPr>
              <w:t>Shares or</w:t>
            </w:r>
          </w:p>
        </w:tc>
        <w:tc>
          <w:tcPr>
            <w:tcW w:w="1040" w:type="dxa"/>
            <w:vAlign w:val="bottom"/>
          </w:tcPr>
          <w:p>
            <w:pPr>
              <w:jc w:val="right"/>
              <w:ind w:right="114"/>
              <w:spacing w:after="0"/>
              <w:rPr>
                <w:sz w:val="20"/>
                <w:szCs w:val="20"/>
                <w:color w:val="auto"/>
              </w:rPr>
            </w:pPr>
            <w:r>
              <w:rPr>
                <w:rFonts w:ascii="Arial" w:cs="Arial" w:eastAsia="Arial" w:hAnsi="Arial"/>
                <w:sz w:val="13"/>
                <w:szCs w:val="13"/>
                <w:color w:val="auto"/>
              </w:rPr>
              <w:t>Shares, Units</w:t>
            </w:r>
          </w:p>
        </w:tc>
        <w:tc>
          <w:tcPr>
            <w:tcW w:w="980" w:type="dxa"/>
            <w:vAlign w:val="bottom"/>
            <w:gridSpan w:val="2"/>
          </w:tcPr>
          <w:p>
            <w:pPr>
              <w:jc w:val="right"/>
              <w:ind w:right="20"/>
              <w:spacing w:after="0"/>
              <w:rPr>
                <w:sz w:val="20"/>
                <w:szCs w:val="20"/>
                <w:color w:val="auto"/>
              </w:rPr>
            </w:pPr>
            <w:r>
              <w:rPr>
                <w:rFonts w:ascii="Arial" w:cs="Arial" w:eastAsia="Arial" w:hAnsi="Arial"/>
                <w:sz w:val="13"/>
                <w:szCs w:val="13"/>
                <w:color w:val="auto"/>
              </w:rPr>
              <w:t>Shares, Units</w:t>
            </w:r>
          </w:p>
        </w:tc>
      </w:tr>
      <w:tr>
        <w:trPr>
          <w:trHeight w:val="149"/>
        </w:trPr>
        <w:tc>
          <w:tcPr>
            <w:tcW w:w="1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Securities</w:t>
            </w:r>
          </w:p>
        </w:tc>
        <w:tc>
          <w:tcPr>
            <w:tcW w:w="1160" w:type="dxa"/>
            <w:vAlign w:val="bottom"/>
          </w:tcPr>
          <w:p>
            <w:pPr>
              <w:jc w:val="right"/>
              <w:ind w:right="54"/>
              <w:spacing w:after="0"/>
              <w:rPr>
                <w:sz w:val="20"/>
                <w:szCs w:val="20"/>
                <w:color w:val="auto"/>
              </w:rPr>
            </w:pPr>
            <w:r>
              <w:rPr>
                <w:rFonts w:ascii="Arial" w:cs="Arial" w:eastAsia="Arial" w:hAnsi="Arial"/>
                <w:sz w:val="13"/>
                <w:szCs w:val="13"/>
                <w:color w:val="auto"/>
              </w:rPr>
              <w:t>Securities</w:t>
            </w:r>
          </w:p>
        </w:tc>
        <w:tc>
          <w:tcPr>
            <w:tcW w:w="1020" w:type="dxa"/>
            <w:vAlign w:val="bottom"/>
          </w:tcPr>
          <w:p>
            <w:pPr>
              <w:jc w:val="right"/>
              <w:ind w:right="54"/>
              <w:spacing w:after="0"/>
              <w:rPr>
                <w:sz w:val="20"/>
                <w:szCs w:val="20"/>
                <w:color w:val="auto"/>
              </w:rPr>
            </w:pPr>
            <w:r>
              <w:rPr>
                <w:rFonts w:ascii="Arial" w:cs="Arial" w:eastAsia="Arial" w:hAnsi="Arial"/>
                <w:sz w:val="13"/>
                <w:szCs w:val="13"/>
                <w:color w:val="auto"/>
              </w:rPr>
              <w:t>Underlying</w:t>
            </w: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14"/>
              <w:spacing w:after="0"/>
              <w:rPr>
                <w:sz w:val="20"/>
                <w:szCs w:val="20"/>
                <w:color w:val="auto"/>
              </w:rPr>
            </w:pPr>
            <w:r>
              <w:rPr>
                <w:rFonts w:ascii="Arial" w:cs="Arial" w:eastAsia="Arial" w:hAnsi="Arial"/>
                <w:sz w:val="13"/>
                <w:szCs w:val="13"/>
                <w:color w:val="auto"/>
              </w:rPr>
              <w:t>Units of</w:t>
            </w:r>
          </w:p>
        </w:tc>
        <w:tc>
          <w:tcPr>
            <w:tcW w:w="740" w:type="dxa"/>
            <w:vAlign w:val="bottom"/>
          </w:tcPr>
          <w:p>
            <w:pPr>
              <w:jc w:val="right"/>
              <w:spacing w:after="0"/>
              <w:rPr>
                <w:sz w:val="20"/>
                <w:szCs w:val="20"/>
                <w:color w:val="auto"/>
              </w:rPr>
            </w:pPr>
            <w:r>
              <w:rPr>
                <w:rFonts w:ascii="Arial" w:cs="Arial" w:eastAsia="Arial" w:hAnsi="Arial"/>
                <w:sz w:val="13"/>
                <w:szCs w:val="13"/>
                <w:color w:val="auto"/>
              </w:rPr>
              <w:t>Units of</w:t>
            </w:r>
          </w:p>
        </w:tc>
        <w:tc>
          <w:tcPr>
            <w:tcW w:w="1040" w:type="dxa"/>
            <w:vAlign w:val="bottom"/>
          </w:tcPr>
          <w:p>
            <w:pPr>
              <w:jc w:val="right"/>
              <w:ind w:right="114"/>
              <w:spacing w:after="0"/>
              <w:rPr>
                <w:sz w:val="20"/>
                <w:szCs w:val="20"/>
                <w:color w:val="auto"/>
              </w:rPr>
            </w:pPr>
            <w:r>
              <w:rPr>
                <w:rFonts w:ascii="Arial" w:cs="Arial" w:eastAsia="Arial" w:hAnsi="Arial"/>
                <w:sz w:val="13"/>
                <w:szCs w:val="13"/>
                <w:color w:val="auto"/>
              </w:rPr>
              <w:t>or Other</w:t>
            </w:r>
          </w:p>
        </w:tc>
        <w:tc>
          <w:tcPr>
            <w:tcW w:w="980" w:type="dxa"/>
            <w:vAlign w:val="bottom"/>
            <w:gridSpan w:val="2"/>
          </w:tcPr>
          <w:p>
            <w:pPr>
              <w:jc w:val="right"/>
              <w:ind w:right="20"/>
              <w:spacing w:after="0"/>
              <w:rPr>
                <w:sz w:val="20"/>
                <w:szCs w:val="20"/>
                <w:color w:val="auto"/>
              </w:rPr>
            </w:pPr>
            <w:r>
              <w:rPr>
                <w:rFonts w:ascii="Arial" w:cs="Arial" w:eastAsia="Arial" w:hAnsi="Arial"/>
                <w:sz w:val="13"/>
                <w:szCs w:val="13"/>
                <w:color w:val="auto"/>
              </w:rPr>
              <w:t>or Other</w:t>
            </w:r>
          </w:p>
        </w:tc>
      </w:tr>
      <w:tr>
        <w:trPr>
          <w:trHeight w:val="149"/>
        </w:trPr>
        <w:tc>
          <w:tcPr>
            <w:tcW w:w="1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Underlying</w:t>
            </w:r>
          </w:p>
        </w:tc>
        <w:tc>
          <w:tcPr>
            <w:tcW w:w="1160" w:type="dxa"/>
            <w:vAlign w:val="bottom"/>
          </w:tcPr>
          <w:p>
            <w:pPr>
              <w:jc w:val="right"/>
              <w:ind w:right="54"/>
              <w:spacing w:after="0"/>
              <w:rPr>
                <w:sz w:val="20"/>
                <w:szCs w:val="20"/>
                <w:color w:val="auto"/>
              </w:rPr>
            </w:pPr>
            <w:r>
              <w:rPr>
                <w:rFonts w:ascii="Arial" w:cs="Arial" w:eastAsia="Arial" w:hAnsi="Arial"/>
                <w:sz w:val="13"/>
                <w:szCs w:val="13"/>
                <w:color w:val="auto"/>
              </w:rPr>
              <w:t>Underlying</w:t>
            </w:r>
          </w:p>
        </w:tc>
        <w:tc>
          <w:tcPr>
            <w:tcW w:w="1020" w:type="dxa"/>
            <w:vAlign w:val="bottom"/>
          </w:tcPr>
          <w:p>
            <w:pPr>
              <w:jc w:val="right"/>
              <w:ind w:right="54"/>
              <w:spacing w:after="0"/>
              <w:rPr>
                <w:sz w:val="20"/>
                <w:szCs w:val="20"/>
                <w:color w:val="auto"/>
              </w:rPr>
            </w:pPr>
            <w:r>
              <w:rPr>
                <w:rFonts w:ascii="Arial" w:cs="Arial" w:eastAsia="Arial" w:hAnsi="Arial"/>
                <w:sz w:val="13"/>
                <w:szCs w:val="13"/>
                <w:color w:val="auto"/>
              </w:rPr>
              <w:t>Unexercised</w:t>
            </w:r>
          </w:p>
        </w:tc>
        <w:tc>
          <w:tcPr>
            <w:tcW w:w="700" w:type="dxa"/>
            <w:vAlign w:val="bottom"/>
          </w:tcPr>
          <w:p>
            <w:pPr>
              <w:jc w:val="right"/>
              <w:ind w:right="54"/>
              <w:spacing w:after="0"/>
              <w:rPr>
                <w:sz w:val="20"/>
                <w:szCs w:val="20"/>
                <w:color w:val="auto"/>
              </w:rPr>
            </w:pPr>
            <w:r>
              <w:rPr>
                <w:rFonts w:ascii="Arial" w:cs="Arial" w:eastAsia="Arial" w:hAnsi="Arial"/>
                <w:sz w:val="13"/>
                <w:szCs w:val="13"/>
                <w:color w:val="auto"/>
              </w:rPr>
              <w:t>Option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Stock That</w:t>
            </w:r>
          </w:p>
        </w:tc>
        <w:tc>
          <w:tcPr>
            <w:tcW w:w="740" w:type="dxa"/>
            <w:vAlign w:val="bottom"/>
          </w:tcPr>
          <w:p>
            <w:pPr>
              <w:jc w:val="right"/>
              <w:spacing w:after="0"/>
              <w:rPr>
                <w:sz w:val="20"/>
                <w:szCs w:val="20"/>
                <w:color w:val="auto"/>
              </w:rPr>
            </w:pPr>
            <w:r>
              <w:rPr>
                <w:rFonts w:ascii="Arial" w:cs="Arial" w:eastAsia="Arial" w:hAnsi="Arial"/>
                <w:sz w:val="13"/>
                <w:szCs w:val="13"/>
                <w:color w:val="auto"/>
              </w:rPr>
              <w:t>Stock That</w:t>
            </w:r>
          </w:p>
        </w:tc>
        <w:tc>
          <w:tcPr>
            <w:tcW w:w="1040" w:type="dxa"/>
            <w:vAlign w:val="bottom"/>
          </w:tcPr>
          <w:p>
            <w:pPr>
              <w:jc w:val="right"/>
              <w:ind w:right="114"/>
              <w:spacing w:after="0"/>
              <w:rPr>
                <w:sz w:val="20"/>
                <w:szCs w:val="20"/>
                <w:color w:val="auto"/>
              </w:rPr>
            </w:pPr>
            <w:r>
              <w:rPr>
                <w:rFonts w:ascii="Arial" w:cs="Arial" w:eastAsia="Arial" w:hAnsi="Arial"/>
                <w:sz w:val="13"/>
                <w:szCs w:val="13"/>
                <w:color w:val="auto"/>
              </w:rPr>
              <w:t>Rights That</w:t>
            </w:r>
          </w:p>
        </w:tc>
        <w:tc>
          <w:tcPr>
            <w:tcW w:w="980" w:type="dxa"/>
            <w:vAlign w:val="bottom"/>
            <w:gridSpan w:val="2"/>
          </w:tcPr>
          <w:p>
            <w:pPr>
              <w:jc w:val="right"/>
              <w:ind w:right="20"/>
              <w:spacing w:after="0"/>
              <w:rPr>
                <w:sz w:val="20"/>
                <w:szCs w:val="20"/>
                <w:color w:val="auto"/>
              </w:rPr>
            </w:pPr>
            <w:r>
              <w:rPr>
                <w:rFonts w:ascii="Arial" w:cs="Arial" w:eastAsia="Arial" w:hAnsi="Arial"/>
                <w:sz w:val="13"/>
                <w:szCs w:val="13"/>
                <w:color w:val="auto"/>
              </w:rPr>
              <w:t>Rights That</w:t>
            </w:r>
          </w:p>
        </w:tc>
      </w:tr>
      <w:tr>
        <w:trPr>
          <w:trHeight w:val="149"/>
        </w:trPr>
        <w:tc>
          <w:tcPr>
            <w:tcW w:w="1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Unexercised</w:t>
            </w:r>
          </w:p>
        </w:tc>
        <w:tc>
          <w:tcPr>
            <w:tcW w:w="1160" w:type="dxa"/>
            <w:vAlign w:val="bottom"/>
          </w:tcPr>
          <w:p>
            <w:pPr>
              <w:jc w:val="right"/>
              <w:ind w:right="54"/>
              <w:spacing w:after="0"/>
              <w:rPr>
                <w:sz w:val="20"/>
                <w:szCs w:val="20"/>
                <w:color w:val="auto"/>
              </w:rPr>
            </w:pPr>
            <w:r>
              <w:rPr>
                <w:rFonts w:ascii="Arial" w:cs="Arial" w:eastAsia="Arial" w:hAnsi="Arial"/>
                <w:sz w:val="13"/>
                <w:szCs w:val="13"/>
                <w:color w:val="auto"/>
              </w:rPr>
              <w:t>Unexercised</w:t>
            </w:r>
          </w:p>
        </w:tc>
        <w:tc>
          <w:tcPr>
            <w:tcW w:w="1020" w:type="dxa"/>
            <w:vAlign w:val="bottom"/>
          </w:tcPr>
          <w:p>
            <w:pPr>
              <w:jc w:val="right"/>
              <w:ind w:right="54"/>
              <w:spacing w:after="0"/>
              <w:rPr>
                <w:sz w:val="20"/>
                <w:szCs w:val="20"/>
                <w:color w:val="auto"/>
              </w:rPr>
            </w:pPr>
            <w:r>
              <w:rPr>
                <w:rFonts w:ascii="Arial" w:cs="Arial" w:eastAsia="Arial" w:hAnsi="Arial"/>
                <w:sz w:val="13"/>
                <w:szCs w:val="13"/>
                <w:color w:val="auto"/>
              </w:rPr>
              <w:t>Unearned</w:t>
            </w:r>
          </w:p>
        </w:tc>
        <w:tc>
          <w:tcPr>
            <w:tcW w:w="700" w:type="dxa"/>
            <w:vAlign w:val="bottom"/>
          </w:tcPr>
          <w:p>
            <w:pPr>
              <w:jc w:val="right"/>
              <w:ind w:right="54"/>
              <w:spacing w:after="0"/>
              <w:rPr>
                <w:sz w:val="20"/>
                <w:szCs w:val="20"/>
                <w:color w:val="auto"/>
              </w:rPr>
            </w:pPr>
            <w:r>
              <w:rPr>
                <w:rFonts w:ascii="Arial" w:cs="Arial" w:eastAsia="Arial" w:hAnsi="Arial"/>
                <w:sz w:val="13"/>
                <w:szCs w:val="13"/>
                <w:color w:val="auto"/>
              </w:rPr>
              <w:t>Exercise</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Option</w:t>
            </w:r>
          </w:p>
        </w:tc>
        <w:tc>
          <w:tcPr>
            <w:tcW w:w="840" w:type="dxa"/>
            <w:vAlign w:val="bottom"/>
          </w:tcPr>
          <w:p>
            <w:pPr>
              <w:jc w:val="right"/>
              <w:ind w:right="14"/>
              <w:spacing w:after="0"/>
              <w:rPr>
                <w:sz w:val="20"/>
                <w:szCs w:val="20"/>
                <w:color w:val="auto"/>
              </w:rPr>
            </w:pPr>
            <w:r>
              <w:rPr>
                <w:rFonts w:ascii="Arial" w:cs="Arial" w:eastAsia="Arial" w:hAnsi="Arial"/>
                <w:sz w:val="13"/>
                <w:szCs w:val="13"/>
                <w:color w:val="auto"/>
              </w:rPr>
              <w:t>Have Not</w:t>
            </w:r>
          </w:p>
        </w:tc>
        <w:tc>
          <w:tcPr>
            <w:tcW w:w="740" w:type="dxa"/>
            <w:vAlign w:val="bottom"/>
          </w:tcPr>
          <w:p>
            <w:pPr>
              <w:jc w:val="right"/>
              <w:spacing w:after="0"/>
              <w:rPr>
                <w:sz w:val="20"/>
                <w:szCs w:val="20"/>
                <w:color w:val="auto"/>
              </w:rPr>
            </w:pPr>
            <w:r>
              <w:rPr>
                <w:rFonts w:ascii="Arial" w:cs="Arial" w:eastAsia="Arial" w:hAnsi="Arial"/>
                <w:sz w:val="13"/>
                <w:szCs w:val="13"/>
                <w:color w:val="auto"/>
              </w:rPr>
              <w:t>Have Not</w:t>
            </w:r>
          </w:p>
        </w:tc>
        <w:tc>
          <w:tcPr>
            <w:tcW w:w="1040" w:type="dxa"/>
            <w:vAlign w:val="bottom"/>
          </w:tcPr>
          <w:p>
            <w:pPr>
              <w:jc w:val="right"/>
              <w:ind w:right="114"/>
              <w:spacing w:after="0"/>
              <w:rPr>
                <w:sz w:val="20"/>
                <w:szCs w:val="20"/>
                <w:color w:val="auto"/>
              </w:rPr>
            </w:pPr>
            <w:r>
              <w:rPr>
                <w:rFonts w:ascii="Arial" w:cs="Arial" w:eastAsia="Arial" w:hAnsi="Arial"/>
                <w:sz w:val="13"/>
                <w:szCs w:val="13"/>
                <w:color w:val="auto"/>
              </w:rPr>
              <w:t>Have Not</w:t>
            </w: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Have Not</w:t>
            </w:r>
          </w:p>
        </w:tc>
      </w:tr>
      <w:tr>
        <w:trPr>
          <w:trHeight w:val="149"/>
        </w:trPr>
        <w:tc>
          <w:tcPr>
            <w:tcW w:w="1920" w:type="dxa"/>
            <w:vAlign w:val="bottom"/>
          </w:tcPr>
          <w:p>
            <w:pPr>
              <w:spacing w:after="0"/>
              <w:rPr>
                <w:sz w:val="12"/>
                <w:szCs w:val="12"/>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Type of</w:t>
            </w:r>
          </w:p>
        </w:tc>
        <w:tc>
          <w:tcPr>
            <w:tcW w:w="1080" w:type="dxa"/>
            <w:vAlign w:val="bottom"/>
          </w:tcPr>
          <w:p>
            <w:pPr>
              <w:jc w:val="right"/>
              <w:spacing w:after="0"/>
              <w:rPr>
                <w:sz w:val="20"/>
                <w:szCs w:val="20"/>
                <w:color w:val="auto"/>
              </w:rPr>
            </w:pPr>
            <w:r>
              <w:rPr>
                <w:rFonts w:ascii="Arial" w:cs="Arial" w:eastAsia="Arial" w:hAnsi="Arial"/>
                <w:sz w:val="13"/>
                <w:szCs w:val="13"/>
                <w:color w:val="auto"/>
              </w:rPr>
              <w:t>Options</w:t>
            </w:r>
          </w:p>
        </w:tc>
        <w:tc>
          <w:tcPr>
            <w:tcW w:w="1160" w:type="dxa"/>
            <w:vAlign w:val="bottom"/>
          </w:tcPr>
          <w:p>
            <w:pPr>
              <w:jc w:val="right"/>
              <w:ind w:right="14"/>
              <w:spacing w:after="0"/>
              <w:rPr>
                <w:sz w:val="20"/>
                <w:szCs w:val="20"/>
                <w:color w:val="auto"/>
              </w:rPr>
            </w:pPr>
            <w:r>
              <w:rPr>
                <w:rFonts w:ascii="Arial" w:cs="Arial" w:eastAsia="Arial" w:hAnsi="Arial"/>
                <w:sz w:val="13"/>
                <w:szCs w:val="13"/>
                <w:color w:val="auto"/>
              </w:rPr>
              <w:t>Options</w:t>
            </w:r>
          </w:p>
        </w:tc>
        <w:tc>
          <w:tcPr>
            <w:tcW w:w="1020" w:type="dxa"/>
            <w:vAlign w:val="bottom"/>
          </w:tcPr>
          <w:p>
            <w:pPr>
              <w:jc w:val="right"/>
              <w:ind w:right="34"/>
              <w:spacing w:after="0"/>
              <w:rPr>
                <w:sz w:val="20"/>
                <w:szCs w:val="20"/>
                <w:color w:val="auto"/>
              </w:rPr>
            </w:pPr>
            <w:r>
              <w:rPr>
                <w:rFonts w:ascii="Arial" w:cs="Arial" w:eastAsia="Arial" w:hAnsi="Arial"/>
                <w:sz w:val="13"/>
                <w:szCs w:val="13"/>
                <w:color w:val="auto"/>
              </w:rPr>
              <w:t>Options</w:t>
            </w:r>
          </w:p>
        </w:tc>
        <w:tc>
          <w:tcPr>
            <w:tcW w:w="1360" w:type="dxa"/>
            <w:vAlign w:val="bottom"/>
            <w:gridSpan w:val="3"/>
          </w:tcPr>
          <w:p>
            <w:pPr>
              <w:jc w:val="right"/>
              <w:ind w:right="140"/>
              <w:spacing w:after="0"/>
              <w:rPr>
                <w:sz w:val="20"/>
                <w:szCs w:val="20"/>
                <w:color w:val="auto"/>
              </w:rPr>
            </w:pPr>
            <w:r>
              <w:rPr>
                <w:rFonts w:ascii="Arial" w:cs="Arial" w:eastAsia="Arial" w:hAnsi="Arial"/>
                <w:sz w:val="13"/>
                <w:szCs w:val="13"/>
                <w:color w:val="auto"/>
              </w:rPr>
              <w:t>Price Expiration</w:t>
            </w:r>
          </w:p>
        </w:tc>
        <w:tc>
          <w:tcPr>
            <w:tcW w:w="840" w:type="dxa"/>
            <w:vAlign w:val="bottom"/>
          </w:tcPr>
          <w:p>
            <w:pPr>
              <w:jc w:val="right"/>
              <w:spacing w:after="0"/>
              <w:rPr>
                <w:sz w:val="20"/>
                <w:szCs w:val="20"/>
                <w:color w:val="auto"/>
              </w:rPr>
            </w:pPr>
            <w:r>
              <w:rPr>
                <w:rFonts w:ascii="Arial" w:cs="Arial" w:eastAsia="Arial" w:hAnsi="Arial"/>
                <w:sz w:val="13"/>
                <w:szCs w:val="13"/>
                <w:color w:val="auto"/>
              </w:rPr>
              <w:t>Vested</w:t>
            </w:r>
          </w:p>
        </w:tc>
        <w:tc>
          <w:tcPr>
            <w:tcW w:w="740" w:type="dxa"/>
            <w:vAlign w:val="bottom"/>
          </w:tcPr>
          <w:p>
            <w:pPr>
              <w:jc w:val="right"/>
              <w:spacing w:after="0"/>
              <w:rPr>
                <w:sz w:val="20"/>
                <w:szCs w:val="20"/>
                <w:color w:val="auto"/>
              </w:rPr>
            </w:pPr>
            <w:r>
              <w:rPr>
                <w:rFonts w:ascii="Arial" w:cs="Arial" w:eastAsia="Arial" w:hAnsi="Arial"/>
                <w:sz w:val="13"/>
                <w:szCs w:val="13"/>
                <w:color w:val="auto"/>
              </w:rPr>
              <w:t>Vested</w:t>
            </w:r>
          </w:p>
        </w:tc>
        <w:tc>
          <w:tcPr>
            <w:tcW w:w="1040" w:type="dxa"/>
            <w:vAlign w:val="bottom"/>
          </w:tcPr>
          <w:p>
            <w:pPr>
              <w:jc w:val="right"/>
              <w:ind w:right="94"/>
              <w:spacing w:after="0"/>
              <w:rPr>
                <w:sz w:val="20"/>
                <w:szCs w:val="20"/>
                <w:color w:val="auto"/>
              </w:rPr>
            </w:pPr>
            <w:r>
              <w:rPr>
                <w:rFonts w:ascii="Arial" w:cs="Arial" w:eastAsia="Arial" w:hAnsi="Arial"/>
                <w:sz w:val="13"/>
                <w:szCs w:val="13"/>
                <w:color w:val="auto"/>
              </w:rPr>
              <w:t>Vested</w:t>
            </w:r>
          </w:p>
        </w:tc>
        <w:tc>
          <w:tcPr>
            <w:tcW w:w="980" w:type="dxa"/>
            <w:vAlign w:val="bottom"/>
            <w:gridSpan w:val="2"/>
          </w:tcPr>
          <w:p>
            <w:pPr>
              <w:jc w:val="right"/>
              <w:ind w:right="20"/>
              <w:spacing w:after="0"/>
              <w:rPr>
                <w:sz w:val="20"/>
                <w:szCs w:val="20"/>
                <w:color w:val="auto"/>
              </w:rPr>
            </w:pPr>
            <w:r>
              <w:rPr>
                <w:rFonts w:ascii="Arial" w:cs="Arial" w:eastAsia="Arial" w:hAnsi="Arial"/>
                <w:sz w:val="13"/>
                <w:szCs w:val="13"/>
                <w:color w:val="auto"/>
              </w:rPr>
              <w:t>Vested</w:t>
            </w:r>
          </w:p>
        </w:tc>
      </w:tr>
      <w:tr>
        <w:trPr>
          <w:trHeight w:val="157"/>
        </w:trPr>
        <w:tc>
          <w:tcPr>
            <w:tcW w:w="1920" w:type="dxa"/>
            <w:vAlign w:val="bottom"/>
          </w:tcPr>
          <w:p>
            <w:pPr>
              <w:spacing w:after="0"/>
              <w:rPr>
                <w:sz w:val="20"/>
                <w:szCs w:val="20"/>
                <w:color w:val="auto"/>
              </w:rPr>
            </w:pPr>
            <w:r>
              <w:rPr>
                <w:rFonts w:ascii="Arial" w:cs="Arial" w:eastAsia="Arial" w:hAnsi="Arial"/>
                <w:sz w:val="13"/>
                <w:szCs w:val="13"/>
                <w:color w:val="auto"/>
              </w:rPr>
              <w:t>Name</w:t>
            </w:r>
          </w:p>
        </w:tc>
        <w:tc>
          <w:tcPr>
            <w:tcW w:w="1120" w:type="dxa"/>
            <w:vAlign w:val="bottom"/>
          </w:tcPr>
          <w:p>
            <w:pPr>
              <w:spacing w:after="0"/>
              <w:rPr>
                <w:sz w:val="20"/>
                <w:szCs w:val="20"/>
                <w:color w:val="auto"/>
              </w:rPr>
            </w:pPr>
            <w:r>
              <w:rPr>
                <w:rFonts w:ascii="Arial" w:cs="Arial" w:eastAsia="Arial" w:hAnsi="Arial"/>
                <w:sz w:val="13"/>
                <w:szCs w:val="13"/>
                <w:color w:val="auto"/>
              </w:rPr>
              <w:t>Award</w:t>
            </w:r>
          </w:p>
        </w:tc>
        <w:tc>
          <w:tcPr>
            <w:tcW w:w="1080" w:type="dxa"/>
            <w:vAlign w:val="bottom"/>
          </w:tcPr>
          <w:p>
            <w:pPr>
              <w:jc w:val="right"/>
              <w:spacing w:after="0"/>
              <w:rPr>
                <w:sz w:val="20"/>
                <w:szCs w:val="20"/>
                <w:color w:val="auto"/>
              </w:rPr>
            </w:pPr>
            <w:r>
              <w:rPr>
                <w:rFonts w:ascii="Arial" w:cs="Arial" w:eastAsia="Arial" w:hAnsi="Arial"/>
                <w:sz w:val="13"/>
                <w:szCs w:val="13"/>
                <w:color w:val="auto"/>
              </w:rPr>
              <w:t>(# Exercisable)</w:t>
            </w:r>
          </w:p>
        </w:tc>
        <w:tc>
          <w:tcPr>
            <w:tcW w:w="1160" w:type="dxa"/>
            <w:vAlign w:val="bottom"/>
          </w:tcPr>
          <w:p>
            <w:pPr>
              <w:jc w:val="right"/>
              <w:ind w:right="14"/>
              <w:spacing w:after="0"/>
              <w:rPr>
                <w:sz w:val="20"/>
                <w:szCs w:val="20"/>
                <w:color w:val="auto"/>
              </w:rPr>
            </w:pPr>
            <w:r>
              <w:rPr>
                <w:rFonts w:ascii="Arial" w:cs="Arial" w:eastAsia="Arial" w:hAnsi="Arial"/>
                <w:sz w:val="13"/>
                <w:szCs w:val="13"/>
                <w:color w:val="auto"/>
              </w:rPr>
              <w:t>(# Unexercisable)</w:t>
            </w:r>
          </w:p>
        </w:tc>
        <w:tc>
          <w:tcPr>
            <w:tcW w:w="10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Date</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r>
      <w:tr>
        <w:trPr>
          <w:trHeight w:val="134"/>
        </w:trPr>
        <w:tc>
          <w:tcPr>
            <w:tcW w:w="1920" w:type="dxa"/>
            <w:vAlign w:val="bottom"/>
            <w:tcBorders>
              <w:top w:val="single" w:sz="8" w:color="auto"/>
            </w:tcBorders>
            <w:shd w:val="clear" w:color="auto" w:fill="E5E5E5"/>
          </w:tcPr>
          <w:p>
            <w:pPr>
              <w:spacing w:after="0" w:line="134" w:lineRule="exact"/>
              <w:rPr>
                <w:sz w:val="20"/>
                <w:szCs w:val="20"/>
                <w:color w:val="auto"/>
              </w:rPr>
            </w:pPr>
            <w:r>
              <w:rPr>
                <w:rFonts w:ascii="Arial" w:cs="Arial" w:eastAsia="Arial" w:hAnsi="Arial"/>
                <w:sz w:val="13"/>
                <w:szCs w:val="13"/>
                <w:color w:val="auto"/>
              </w:rPr>
              <w:t>G. Manning Rountree</w:t>
            </w:r>
          </w:p>
        </w:tc>
        <w:tc>
          <w:tcPr>
            <w:tcW w:w="1120" w:type="dxa"/>
            <w:vAlign w:val="bottom"/>
            <w:tcBorders>
              <w:top w:val="single" w:sz="8" w:color="auto"/>
            </w:tcBorders>
            <w:shd w:val="clear" w:color="auto" w:fill="E5E5E5"/>
          </w:tcPr>
          <w:p>
            <w:pPr>
              <w:spacing w:after="0" w:line="134" w:lineRule="exact"/>
              <w:rPr>
                <w:sz w:val="20"/>
                <w:szCs w:val="20"/>
                <w:color w:val="auto"/>
              </w:rPr>
            </w:pPr>
            <w:r>
              <w:rPr>
                <w:rFonts w:ascii="Arial" w:cs="Arial" w:eastAsia="Arial" w:hAnsi="Arial"/>
                <w:sz w:val="13"/>
                <w:szCs w:val="13"/>
                <w:color w:val="auto"/>
              </w:rPr>
              <w:t>WTM Performance</w:t>
            </w:r>
          </w:p>
        </w:tc>
        <w:tc>
          <w:tcPr>
            <w:tcW w:w="1080" w:type="dxa"/>
            <w:vAlign w:val="bottom"/>
            <w:tcBorders>
              <w:top w:val="single" w:sz="8" w:color="auto"/>
            </w:tcBorders>
            <w:shd w:val="clear" w:color="auto" w:fill="E5E5E5"/>
          </w:tcPr>
          <w:p>
            <w:pPr>
              <w:spacing w:after="0"/>
              <w:rPr>
                <w:sz w:val="11"/>
                <w:szCs w:val="11"/>
                <w:color w:val="auto"/>
              </w:rPr>
            </w:pPr>
          </w:p>
        </w:tc>
        <w:tc>
          <w:tcPr>
            <w:tcW w:w="1160" w:type="dxa"/>
            <w:vAlign w:val="bottom"/>
            <w:tcBorders>
              <w:top w:val="single" w:sz="8" w:color="auto"/>
            </w:tcBorders>
            <w:shd w:val="clear" w:color="auto" w:fill="E5E5E5"/>
          </w:tcPr>
          <w:p>
            <w:pPr>
              <w:spacing w:after="0"/>
              <w:rPr>
                <w:sz w:val="11"/>
                <w:szCs w:val="11"/>
                <w:color w:val="auto"/>
              </w:rPr>
            </w:pPr>
          </w:p>
        </w:tc>
        <w:tc>
          <w:tcPr>
            <w:tcW w:w="1020" w:type="dxa"/>
            <w:vAlign w:val="bottom"/>
            <w:tcBorders>
              <w:top w:val="single" w:sz="8" w:color="auto"/>
            </w:tcBorders>
            <w:shd w:val="clear" w:color="auto" w:fill="E5E5E5"/>
          </w:tcPr>
          <w:p>
            <w:pPr>
              <w:spacing w:after="0"/>
              <w:rPr>
                <w:sz w:val="11"/>
                <w:szCs w:val="11"/>
                <w:color w:val="auto"/>
              </w:rPr>
            </w:pPr>
          </w:p>
        </w:tc>
        <w:tc>
          <w:tcPr>
            <w:tcW w:w="700" w:type="dxa"/>
            <w:vAlign w:val="bottom"/>
            <w:tcBorders>
              <w:top w:val="single" w:sz="8" w:color="auto"/>
            </w:tcBorders>
            <w:shd w:val="clear" w:color="auto" w:fill="E5E5E5"/>
          </w:tcPr>
          <w:p>
            <w:pPr>
              <w:spacing w:after="0"/>
              <w:rPr>
                <w:sz w:val="11"/>
                <w:szCs w:val="11"/>
                <w:color w:val="auto"/>
              </w:rPr>
            </w:pPr>
          </w:p>
        </w:tc>
        <w:tc>
          <w:tcPr>
            <w:tcW w:w="560" w:type="dxa"/>
            <w:vAlign w:val="bottom"/>
            <w:tcBorders>
              <w:top w:val="single" w:sz="8" w:color="auto"/>
            </w:tcBorders>
            <w:shd w:val="clear" w:color="auto" w:fill="E5E5E5"/>
          </w:tcPr>
          <w:p>
            <w:pPr>
              <w:spacing w:after="0"/>
              <w:rPr>
                <w:sz w:val="11"/>
                <w:szCs w:val="11"/>
                <w:color w:val="auto"/>
              </w:rPr>
            </w:pPr>
          </w:p>
        </w:tc>
        <w:tc>
          <w:tcPr>
            <w:tcW w:w="100" w:type="dxa"/>
            <w:vAlign w:val="bottom"/>
            <w:tcBorders>
              <w:top w:val="single" w:sz="8" w:color="auto"/>
            </w:tcBorders>
            <w:shd w:val="clear" w:color="auto" w:fill="E5E5E5"/>
          </w:tcPr>
          <w:p>
            <w:pPr>
              <w:spacing w:after="0"/>
              <w:rPr>
                <w:sz w:val="11"/>
                <w:szCs w:val="11"/>
                <w:color w:val="auto"/>
              </w:rPr>
            </w:pPr>
          </w:p>
        </w:tc>
        <w:tc>
          <w:tcPr>
            <w:tcW w:w="840" w:type="dxa"/>
            <w:vAlign w:val="bottom"/>
            <w:tcBorders>
              <w:top w:val="single" w:sz="8" w:color="auto"/>
            </w:tcBorders>
            <w:shd w:val="clear" w:color="auto" w:fill="E5E5E5"/>
          </w:tcPr>
          <w:p>
            <w:pPr>
              <w:spacing w:after="0"/>
              <w:rPr>
                <w:sz w:val="11"/>
                <w:szCs w:val="11"/>
                <w:color w:val="auto"/>
              </w:rPr>
            </w:pPr>
          </w:p>
        </w:tc>
        <w:tc>
          <w:tcPr>
            <w:tcW w:w="740" w:type="dxa"/>
            <w:vAlign w:val="bottom"/>
            <w:tcBorders>
              <w:top w:val="single" w:sz="8" w:color="auto"/>
            </w:tcBorders>
            <w:shd w:val="clear" w:color="auto" w:fill="E5E5E5"/>
          </w:tcPr>
          <w:p>
            <w:pPr>
              <w:spacing w:after="0"/>
              <w:rPr>
                <w:sz w:val="11"/>
                <w:szCs w:val="11"/>
                <w:color w:val="auto"/>
              </w:rPr>
            </w:pPr>
          </w:p>
        </w:tc>
        <w:tc>
          <w:tcPr>
            <w:tcW w:w="1040" w:type="dxa"/>
            <w:vAlign w:val="bottom"/>
            <w:tcBorders>
              <w:top w:val="single" w:sz="8" w:color="auto"/>
            </w:tcBorders>
            <w:shd w:val="clear" w:color="auto" w:fill="E5E5E5"/>
          </w:tcPr>
          <w:p>
            <w:pPr>
              <w:spacing w:after="0"/>
              <w:rPr>
                <w:sz w:val="11"/>
                <w:szCs w:val="11"/>
                <w:color w:val="auto"/>
              </w:rPr>
            </w:pPr>
          </w:p>
        </w:tc>
        <w:tc>
          <w:tcPr>
            <w:tcW w:w="960" w:type="dxa"/>
            <w:vAlign w:val="bottom"/>
            <w:tcBorders>
              <w:top w:val="single" w:sz="8" w:color="auto"/>
            </w:tcBorders>
            <w:shd w:val="clear" w:color="auto" w:fill="E5E5E5"/>
          </w:tcPr>
          <w:p>
            <w:pPr>
              <w:spacing w:after="0"/>
              <w:rPr>
                <w:sz w:val="11"/>
                <w:szCs w:val="11"/>
                <w:color w:val="auto"/>
              </w:rPr>
            </w:pPr>
          </w:p>
        </w:tc>
        <w:tc>
          <w:tcPr>
            <w:tcW w:w="20" w:type="dxa"/>
            <w:vAlign w:val="bottom"/>
          </w:tcPr>
          <w:p>
            <w:pPr>
              <w:spacing w:after="0"/>
              <w:rPr>
                <w:sz w:val="11"/>
                <w:szCs w:val="11"/>
                <w:color w:val="auto"/>
              </w:rPr>
            </w:pPr>
          </w:p>
        </w:tc>
      </w:tr>
      <w:tr>
        <w:trPr>
          <w:trHeight w:val="157"/>
        </w:trPr>
        <w:tc>
          <w:tcPr>
            <w:tcW w:w="1920" w:type="dxa"/>
            <w:vAlign w:val="bottom"/>
            <w:tcBorders>
              <w:bottom w:val="single" w:sz="8" w:color="E5E5E5"/>
            </w:tcBorders>
            <w:shd w:val="clear" w:color="auto" w:fill="E5E5E5"/>
          </w:tcPr>
          <w:p>
            <w:pPr>
              <w:spacing w:after="0"/>
              <w:rPr>
                <w:sz w:val="13"/>
                <w:szCs w:val="13"/>
                <w:color w:val="auto"/>
              </w:rPr>
            </w:pPr>
          </w:p>
        </w:tc>
        <w:tc>
          <w:tcPr>
            <w:tcW w:w="11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3"/>
                <w:szCs w:val="13"/>
                <w:color w:val="auto"/>
              </w:rPr>
              <w:t>Shares</w:t>
            </w: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3"/>
                <w:szCs w:val="13"/>
                <w:color w:val="auto"/>
              </w:rPr>
              <w:t>3,425</w:t>
            </w: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14,244,956</w:t>
            </w:r>
          </w:p>
        </w:tc>
        <w:tc>
          <w:tcPr>
            <w:tcW w:w="20" w:type="dxa"/>
            <w:vAlign w:val="bottom"/>
          </w:tcPr>
          <w:p>
            <w:pPr>
              <w:spacing w:after="0"/>
              <w:rPr>
                <w:sz w:val="13"/>
                <w:szCs w:val="13"/>
                <w:color w:val="auto"/>
              </w:rPr>
            </w:pPr>
          </w:p>
        </w:tc>
      </w:tr>
      <w:tr>
        <w:trPr>
          <w:trHeight w:val="134"/>
        </w:trPr>
        <w:tc>
          <w:tcPr>
            <w:tcW w:w="1920" w:type="dxa"/>
            <w:vAlign w:val="bottom"/>
            <w:shd w:val="clear" w:color="auto" w:fill="E5E5E5"/>
          </w:tcPr>
          <w:p>
            <w:pPr>
              <w:spacing w:after="0"/>
              <w:rPr>
                <w:sz w:val="11"/>
                <w:szCs w:val="11"/>
                <w:color w:val="auto"/>
              </w:rPr>
            </w:pPr>
          </w:p>
        </w:tc>
        <w:tc>
          <w:tcPr>
            <w:tcW w:w="1120" w:type="dxa"/>
            <w:vAlign w:val="bottom"/>
            <w:shd w:val="clear" w:color="auto" w:fill="E5E5E5"/>
          </w:tcPr>
          <w:p>
            <w:pPr>
              <w:spacing w:after="0" w:line="134" w:lineRule="exact"/>
              <w:rPr>
                <w:sz w:val="20"/>
                <w:szCs w:val="20"/>
                <w:color w:val="auto"/>
              </w:rPr>
            </w:pPr>
            <w:r>
              <w:rPr>
                <w:rFonts w:ascii="Arial" w:cs="Arial" w:eastAsia="Arial" w:hAnsi="Arial"/>
                <w:sz w:val="13"/>
                <w:szCs w:val="13"/>
                <w:color w:val="auto"/>
              </w:rPr>
              <w:t>WTM Restricted</w:t>
            </w:r>
          </w:p>
        </w:tc>
        <w:tc>
          <w:tcPr>
            <w:tcW w:w="1080" w:type="dxa"/>
            <w:vAlign w:val="bottom"/>
            <w:shd w:val="clear" w:color="auto" w:fill="E5E5E5"/>
          </w:tcPr>
          <w:p>
            <w:pPr>
              <w:spacing w:after="0"/>
              <w:rPr>
                <w:sz w:val="11"/>
                <w:szCs w:val="11"/>
                <w:color w:val="auto"/>
              </w:rPr>
            </w:pPr>
          </w:p>
        </w:tc>
        <w:tc>
          <w:tcPr>
            <w:tcW w:w="1160" w:type="dxa"/>
            <w:vAlign w:val="bottom"/>
            <w:shd w:val="clear" w:color="auto" w:fill="E5E5E5"/>
          </w:tcPr>
          <w:p>
            <w:pPr>
              <w:spacing w:after="0"/>
              <w:rPr>
                <w:sz w:val="11"/>
                <w:szCs w:val="11"/>
                <w:color w:val="auto"/>
              </w:rPr>
            </w:pPr>
          </w:p>
        </w:tc>
        <w:tc>
          <w:tcPr>
            <w:tcW w:w="1020" w:type="dxa"/>
            <w:vAlign w:val="bottom"/>
            <w:shd w:val="clear" w:color="auto" w:fill="E5E5E5"/>
          </w:tcPr>
          <w:p>
            <w:pPr>
              <w:spacing w:after="0"/>
              <w:rPr>
                <w:sz w:val="11"/>
                <w:szCs w:val="11"/>
                <w:color w:val="auto"/>
              </w:rPr>
            </w:pPr>
          </w:p>
        </w:tc>
        <w:tc>
          <w:tcPr>
            <w:tcW w:w="700" w:type="dxa"/>
            <w:vAlign w:val="bottom"/>
            <w:shd w:val="clear" w:color="auto" w:fill="E5E5E5"/>
          </w:tcPr>
          <w:p>
            <w:pPr>
              <w:spacing w:after="0"/>
              <w:rPr>
                <w:sz w:val="11"/>
                <w:szCs w:val="11"/>
                <w:color w:val="auto"/>
              </w:rPr>
            </w:pPr>
          </w:p>
        </w:tc>
        <w:tc>
          <w:tcPr>
            <w:tcW w:w="56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840" w:type="dxa"/>
            <w:vAlign w:val="bottom"/>
            <w:shd w:val="clear" w:color="auto" w:fill="E5E5E5"/>
          </w:tcPr>
          <w:p>
            <w:pPr>
              <w:spacing w:after="0"/>
              <w:rPr>
                <w:sz w:val="11"/>
                <w:szCs w:val="11"/>
                <w:color w:val="auto"/>
              </w:rPr>
            </w:pPr>
          </w:p>
        </w:tc>
        <w:tc>
          <w:tcPr>
            <w:tcW w:w="740" w:type="dxa"/>
            <w:vAlign w:val="bottom"/>
            <w:shd w:val="clear" w:color="auto" w:fill="E5E5E5"/>
          </w:tcPr>
          <w:p>
            <w:pPr>
              <w:spacing w:after="0"/>
              <w:rPr>
                <w:sz w:val="11"/>
                <w:szCs w:val="11"/>
                <w:color w:val="auto"/>
              </w:rPr>
            </w:pPr>
          </w:p>
        </w:tc>
        <w:tc>
          <w:tcPr>
            <w:tcW w:w="1040" w:type="dxa"/>
            <w:vAlign w:val="bottom"/>
            <w:shd w:val="clear" w:color="auto" w:fill="E5E5E5"/>
          </w:tcPr>
          <w:p>
            <w:pPr>
              <w:spacing w:after="0"/>
              <w:rPr>
                <w:sz w:val="11"/>
                <w:szCs w:val="11"/>
                <w:color w:val="auto"/>
              </w:rPr>
            </w:pPr>
          </w:p>
        </w:tc>
        <w:tc>
          <w:tcPr>
            <w:tcW w:w="960" w:type="dxa"/>
            <w:vAlign w:val="bottom"/>
            <w:shd w:val="clear" w:color="auto" w:fill="E5E5E5"/>
          </w:tcPr>
          <w:p>
            <w:pPr>
              <w:spacing w:after="0"/>
              <w:rPr>
                <w:sz w:val="11"/>
                <w:szCs w:val="11"/>
                <w:color w:val="auto"/>
              </w:rPr>
            </w:pPr>
          </w:p>
        </w:tc>
        <w:tc>
          <w:tcPr>
            <w:tcW w:w="20" w:type="dxa"/>
            <w:vAlign w:val="bottom"/>
          </w:tcPr>
          <w:p>
            <w:pPr>
              <w:spacing w:after="0"/>
              <w:rPr>
                <w:sz w:val="11"/>
                <w:szCs w:val="11"/>
                <w:color w:val="auto"/>
              </w:rPr>
            </w:pPr>
          </w:p>
        </w:tc>
      </w:tr>
      <w:tr>
        <w:trPr>
          <w:trHeight w:val="157"/>
        </w:trPr>
        <w:tc>
          <w:tcPr>
            <w:tcW w:w="1920" w:type="dxa"/>
            <w:vAlign w:val="bottom"/>
            <w:tcBorders>
              <w:bottom w:val="single" w:sz="8" w:color="auto"/>
            </w:tcBorders>
            <w:shd w:val="clear" w:color="auto" w:fill="E5E5E5"/>
          </w:tcPr>
          <w:p>
            <w:pPr>
              <w:spacing w:after="0"/>
              <w:rPr>
                <w:sz w:val="13"/>
                <w:szCs w:val="13"/>
                <w:color w:val="auto"/>
              </w:rPr>
            </w:pPr>
          </w:p>
        </w:tc>
        <w:tc>
          <w:tcPr>
            <w:tcW w:w="11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3"/>
                <w:szCs w:val="13"/>
                <w:color w:val="auto"/>
              </w:rPr>
              <w:t>Shares</w:t>
            </w: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5,425</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11,273,313</w:t>
            </w:r>
          </w:p>
        </w:tc>
        <w:tc>
          <w:tcPr>
            <w:tcW w:w="10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34"/>
        </w:trPr>
        <w:tc>
          <w:tcPr>
            <w:tcW w:w="1920" w:type="dxa"/>
            <w:vAlign w:val="bottom"/>
          </w:tcPr>
          <w:p>
            <w:pPr>
              <w:spacing w:after="0" w:line="134" w:lineRule="exact"/>
              <w:rPr>
                <w:sz w:val="20"/>
                <w:szCs w:val="20"/>
                <w:color w:val="auto"/>
              </w:rPr>
            </w:pPr>
            <w:r>
              <w:rPr>
                <w:rFonts w:ascii="Arial" w:cs="Arial" w:eastAsia="Arial" w:hAnsi="Arial"/>
                <w:sz w:val="13"/>
                <w:szCs w:val="13"/>
                <w:color w:val="auto"/>
              </w:rPr>
              <w:t>Liam P. Caffrey</w:t>
            </w:r>
          </w:p>
        </w:tc>
        <w:tc>
          <w:tcPr>
            <w:tcW w:w="1120" w:type="dxa"/>
            <w:vAlign w:val="bottom"/>
          </w:tcPr>
          <w:p>
            <w:pPr>
              <w:spacing w:after="0" w:line="134" w:lineRule="exact"/>
              <w:rPr>
                <w:sz w:val="20"/>
                <w:szCs w:val="20"/>
                <w:color w:val="auto"/>
              </w:rPr>
            </w:pPr>
            <w:r>
              <w:rPr>
                <w:rFonts w:ascii="Arial" w:cs="Arial" w:eastAsia="Arial" w:hAnsi="Arial"/>
                <w:sz w:val="13"/>
                <w:szCs w:val="13"/>
                <w:color w:val="auto"/>
              </w:rPr>
              <w:t>WTM Performance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7"/>
        </w:trPr>
        <w:tc>
          <w:tcPr>
            <w:tcW w:w="1920" w:type="dxa"/>
            <w:vAlign w:val="bottom"/>
          </w:tcPr>
          <w:p>
            <w:pPr>
              <w:spacing w:after="0"/>
              <w:rPr>
                <w:sz w:val="13"/>
                <w:szCs w:val="13"/>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Shares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2,150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8,942,079</w:t>
            </w:r>
          </w:p>
        </w:tc>
        <w:tc>
          <w:tcPr>
            <w:tcW w:w="20" w:type="dxa"/>
            <w:vAlign w:val="bottom"/>
          </w:tcPr>
          <w:p>
            <w:pPr>
              <w:spacing w:after="0"/>
              <w:rPr>
                <w:sz w:val="13"/>
                <w:szCs w:val="13"/>
                <w:color w:val="auto"/>
              </w:rPr>
            </w:pPr>
          </w:p>
        </w:tc>
      </w:tr>
      <w:tr>
        <w:trPr>
          <w:trHeight w:val="134"/>
        </w:trPr>
        <w:tc>
          <w:tcPr>
            <w:tcW w:w="1920" w:type="dxa"/>
            <w:vAlign w:val="bottom"/>
          </w:tcPr>
          <w:p>
            <w:pPr>
              <w:spacing w:after="0"/>
              <w:rPr>
                <w:sz w:val="11"/>
                <w:szCs w:val="11"/>
                <w:color w:val="auto"/>
              </w:rPr>
            </w:pPr>
          </w:p>
        </w:tc>
        <w:tc>
          <w:tcPr>
            <w:tcW w:w="1120" w:type="dxa"/>
            <w:vAlign w:val="bottom"/>
          </w:tcPr>
          <w:p>
            <w:pPr>
              <w:spacing w:after="0" w:line="134" w:lineRule="exact"/>
              <w:rPr>
                <w:sz w:val="20"/>
                <w:szCs w:val="20"/>
                <w:color w:val="auto"/>
              </w:rPr>
            </w:pPr>
            <w:r>
              <w:rPr>
                <w:rFonts w:ascii="Arial" w:cs="Arial" w:eastAsia="Arial" w:hAnsi="Arial"/>
                <w:sz w:val="13"/>
                <w:szCs w:val="13"/>
                <w:color w:val="auto"/>
              </w:rPr>
              <w:t>WTM Restricted</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7"/>
        </w:trPr>
        <w:tc>
          <w:tcPr>
            <w:tcW w:w="19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Shares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3,400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7,065,302</w:t>
            </w: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34"/>
        </w:trPr>
        <w:tc>
          <w:tcPr>
            <w:tcW w:w="1920" w:type="dxa"/>
            <w:vAlign w:val="bottom"/>
            <w:shd w:val="clear" w:color="auto" w:fill="E5E5E5"/>
          </w:tcPr>
          <w:p>
            <w:pPr>
              <w:spacing w:after="0" w:line="134" w:lineRule="exact"/>
              <w:rPr>
                <w:sz w:val="20"/>
                <w:szCs w:val="20"/>
                <w:color w:val="auto"/>
              </w:rPr>
            </w:pPr>
            <w:r>
              <w:rPr>
                <w:rFonts w:ascii="Arial" w:cs="Arial" w:eastAsia="Arial" w:hAnsi="Arial"/>
                <w:sz w:val="13"/>
                <w:szCs w:val="13"/>
                <w:color w:val="auto"/>
              </w:rPr>
              <w:t>Giles E. Harrison</w:t>
            </w:r>
          </w:p>
        </w:tc>
        <w:tc>
          <w:tcPr>
            <w:tcW w:w="1120" w:type="dxa"/>
            <w:vAlign w:val="bottom"/>
            <w:shd w:val="clear" w:color="auto" w:fill="E5E5E5"/>
          </w:tcPr>
          <w:p>
            <w:pPr>
              <w:spacing w:after="0" w:line="134" w:lineRule="exact"/>
              <w:rPr>
                <w:sz w:val="20"/>
                <w:szCs w:val="20"/>
                <w:color w:val="auto"/>
              </w:rPr>
            </w:pPr>
            <w:r>
              <w:rPr>
                <w:rFonts w:ascii="Arial" w:cs="Arial" w:eastAsia="Arial" w:hAnsi="Arial"/>
                <w:sz w:val="13"/>
                <w:szCs w:val="13"/>
                <w:color w:val="auto"/>
              </w:rPr>
              <w:t>WTM Performance</w:t>
            </w:r>
          </w:p>
        </w:tc>
        <w:tc>
          <w:tcPr>
            <w:tcW w:w="1080" w:type="dxa"/>
            <w:vAlign w:val="bottom"/>
            <w:shd w:val="clear" w:color="auto" w:fill="E5E5E5"/>
          </w:tcPr>
          <w:p>
            <w:pPr>
              <w:spacing w:after="0"/>
              <w:rPr>
                <w:sz w:val="11"/>
                <w:szCs w:val="11"/>
                <w:color w:val="auto"/>
              </w:rPr>
            </w:pPr>
          </w:p>
        </w:tc>
        <w:tc>
          <w:tcPr>
            <w:tcW w:w="1160" w:type="dxa"/>
            <w:vAlign w:val="bottom"/>
            <w:shd w:val="clear" w:color="auto" w:fill="E5E5E5"/>
          </w:tcPr>
          <w:p>
            <w:pPr>
              <w:spacing w:after="0"/>
              <w:rPr>
                <w:sz w:val="11"/>
                <w:szCs w:val="11"/>
                <w:color w:val="auto"/>
              </w:rPr>
            </w:pPr>
          </w:p>
        </w:tc>
        <w:tc>
          <w:tcPr>
            <w:tcW w:w="1020" w:type="dxa"/>
            <w:vAlign w:val="bottom"/>
            <w:shd w:val="clear" w:color="auto" w:fill="E5E5E5"/>
          </w:tcPr>
          <w:p>
            <w:pPr>
              <w:spacing w:after="0"/>
              <w:rPr>
                <w:sz w:val="11"/>
                <w:szCs w:val="11"/>
                <w:color w:val="auto"/>
              </w:rPr>
            </w:pPr>
          </w:p>
        </w:tc>
        <w:tc>
          <w:tcPr>
            <w:tcW w:w="700" w:type="dxa"/>
            <w:vAlign w:val="bottom"/>
            <w:shd w:val="clear" w:color="auto" w:fill="E5E5E5"/>
          </w:tcPr>
          <w:p>
            <w:pPr>
              <w:spacing w:after="0"/>
              <w:rPr>
                <w:sz w:val="11"/>
                <w:szCs w:val="11"/>
                <w:color w:val="auto"/>
              </w:rPr>
            </w:pPr>
          </w:p>
        </w:tc>
        <w:tc>
          <w:tcPr>
            <w:tcW w:w="56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840" w:type="dxa"/>
            <w:vAlign w:val="bottom"/>
            <w:shd w:val="clear" w:color="auto" w:fill="E5E5E5"/>
          </w:tcPr>
          <w:p>
            <w:pPr>
              <w:spacing w:after="0"/>
              <w:rPr>
                <w:sz w:val="11"/>
                <w:szCs w:val="11"/>
                <w:color w:val="auto"/>
              </w:rPr>
            </w:pPr>
          </w:p>
        </w:tc>
        <w:tc>
          <w:tcPr>
            <w:tcW w:w="740" w:type="dxa"/>
            <w:vAlign w:val="bottom"/>
            <w:shd w:val="clear" w:color="auto" w:fill="E5E5E5"/>
          </w:tcPr>
          <w:p>
            <w:pPr>
              <w:spacing w:after="0"/>
              <w:rPr>
                <w:sz w:val="11"/>
                <w:szCs w:val="11"/>
                <w:color w:val="auto"/>
              </w:rPr>
            </w:pPr>
          </w:p>
        </w:tc>
        <w:tc>
          <w:tcPr>
            <w:tcW w:w="1040" w:type="dxa"/>
            <w:vAlign w:val="bottom"/>
            <w:shd w:val="clear" w:color="auto" w:fill="E5E5E5"/>
          </w:tcPr>
          <w:p>
            <w:pPr>
              <w:spacing w:after="0"/>
              <w:rPr>
                <w:sz w:val="11"/>
                <w:szCs w:val="11"/>
                <w:color w:val="auto"/>
              </w:rPr>
            </w:pPr>
          </w:p>
        </w:tc>
        <w:tc>
          <w:tcPr>
            <w:tcW w:w="960" w:type="dxa"/>
            <w:vAlign w:val="bottom"/>
            <w:shd w:val="clear" w:color="auto" w:fill="E5E5E5"/>
          </w:tcPr>
          <w:p>
            <w:pPr>
              <w:spacing w:after="0"/>
              <w:rPr>
                <w:sz w:val="11"/>
                <w:szCs w:val="11"/>
                <w:color w:val="auto"/>
              </w:rPr>
            </w:pPr>
          </w:p>
        </w:tc>
        <w:tc>
          <w:tcPr>
            <w:tcW w:w="20" w:type="dxa"/>
            <w:vAlign w:val="bottom"/>
          </w:tcPr>
          <w:p>
            <w:pPr>
              <w:spacing w:after="0"/>
              <w:rPr>
                <w:sz w:val="11"/>
                <w:szCs w:val="11"/>
                <w:color w:val="auto"/>
              </w:rPr>
            </w:pPr>
          </w:p>
        </w:tc>
      </w:tr>
      <w:tr>
        <w:trPr>
          <w:trHeight w:val="157"/>
        </w:trPr>
        <w:tc>
          <w:tcPr>
            <w:tcW w:w="1920" w:type="dxa"/>
            <w:vAlign w:val="bottom"/>
            <w:tcBorders>
              <w:bottom w:val="single" w:sz="8" w:color="E5E5E5"/>
            </w:tcBorders>
            <w:shd w:val="clear" w:color="auto" w:fill="E5E5E5"/>
          </w:tcPr>
          <w:p>
            <w:pPr>
              <w:spacing w:after="0"/>
              <w:rPr>
                <w:sz w:val="13"/>
                <w:szCs w:val="13"/>
                <w:color w:val="auto"/>
              </w:rPr>
            </w:pPr>
          </w:p>
        </w:tc>
        <w:tc>
          <w:tcPr>
            <w:tcW w:w="11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3"/>
                <w:szCs w:val="13"/>
                <w:color w:val="auto"/>
              </w:rPr>
              <w:t>Shares</w:t>
            </w: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3"/>
                <w:szCs w:val="13"/>
                <w:color w:val="auto"/>
              </w:rPr>
              <w:t>1,900</w:t>
            </w: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7,902,314</w:t>
            </w:r>
          </w:p>
        </w:tc>
        <w:tc>
          <w:tcPr>
            <w:tcW w:w="20" w:type="dxa"/>
            <w:vAlign w:val="bottom"/>
          </w:tcPr>
          <w:p>
            <w:pPr>
              <w:spacing w:after="0"/>
              <w:rPr>
                <w:sz w:val="13"/>
                <w:szCs w:val="13"/>
                <w:color w:val="auto"/>
              </w:rPr>
            </w:pPr>
          </w:p>
        </w:tc>
      </w:tr>
      <w:tr>
        <w:trPr>
          <w:trHeight w:val="134"/>
        </w:trPr>
        <w:tc>
          <w:tcPr>
            <w:tcW w:w="1920" w:type="dxa"/>
            <w:vAlign w:val="bottom"/>
            <w:shd w:val="clear" w:color="auto" w:fill="E5E5E5"/>
          </w:tcPr>
          <w:p>
            <w:pPr>
              <w:spacing w:after="0"/>
              <w:rPr>
                <w:sz w:val="11"/>
                <w:szCs w:val="11"/>
                <w:color w:val="auto"/>
              </w:rPr>
            </w:pPr>
          </w:p>
        </w:tc>
        <w:tc>
          <w:tcPr>
            <w:tcW w:w="1120" w:type="dxa"/>
            <w:vAlign w:val="bottom"/>
            <w:shd w:val="clear" w:color="auto" w:fill="E5E5E5"/>
          </w:tcPr>
          <w:p>
            <w:pPr>
              <w:spacing w:after="0" w:line="134" w:lineRule="exact"/>
              <w:rPr>
                <w:sz w:val="20"/>
                <w:szCs w:val="20"/>
                <w:color w:val="auto"/>
              </w:rPr>
            </w:pPr>
            <w:r>
              <w:rPr>
                <w:rFonts w:ascii="Arial" w:cs="Arial" w:eastAsia="Arial" w:hAnsi="Arial"/>
                <w:sz w:val="13"/>
                <w:szCs w:val="13"/>
                <w:color w:val="auto"/>
              </w:rPr>
              <w:t>WTM Restricted</w:t>
            </w:r>
          </w:p>
        </w:tc>
        <w:tc>
          <w:tcPr>
            <w:tcW w:w="1080" w:type="dxa"/>
            <w:vAlign w:val="bottom"/>
            <w:shd w:val="clear" w:color="auto" w:fill="E5E5E5"/>
          </w:tcPr>
          <w:p>
            <w:pPr>
              <w:spacing w:after="0"/>
              <w:rPr>
                <w:sz w:val="11"/>
                <w:szCs w:val="11"/>
                <w:color w:val="auto"/>
              </w:rPr>
            </w:pPr>
          </w:p>
        </w:tc>
        <w:tc>
          <w:tcPr>
            <w:tcW w:w="1160" w:type="dxa"/>
            <w:vAlign w:val="bottom"/>
            <w:shd w:val="clear" w:color="auto" w:fill="E5E5E5"/>
          </w:tcPr>
          <w:p>
            <w:pPr>
              <w:spacing w:after="0"/>
              <w:rPr>
                <w:sz w:val="11"/>
                <w:szCs w:val="11"/>
                <w:color w:val="auto"/>
              </w:rPr>
            </w:pPr>
          </w:p>
        </w:tc>
        <w:tc>
          <w:tcPr>
            <w:tcW w:w="1020" w:type="dxa"/>
            <w:vAlign w:val="bottom"/>
            <w:shd w:val="clear" w:color="auto" w:fill="E5E5E5"/>
          </w:tcPr>
          <w:p>
            <w:pPr>
              <w:spacing w:after="0"/>
              <w:rPr>
                <w:sz w:val="11"/>
                <w:szCs w:val="11"/>
                <w:color w:val="auto"/>
              </w:rPr>
            </w:pPr>
          </w:p>
        </w:tc>
        <w:tc>
          <w:tcPr>
            <w:tcW w:w="700" w:type="dxa"/>
            <w:vAlign w:val="bottom"/>
            <w:shd w:val="clear" w:color="auto" w:fill="E5E5E5"/>
          </w:tcPr>
          <w:p>
            <w:pPr>
              <w:spacing w:after="0"/>
              <w:rPr>
                <w:sz w:val="11"/>
                <w:szCs w:val="11"/>
                <w:color w:val="auto"/>
              </w:rPr>
            </w:pPr>
          </w:p>
        </w:tc>
        <w:tc>
          <w:tcPr>
            <w:tcW w:w="56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840" w:type="dxa"/>
            <w:vAlign w:val="bottom"/>
            <w:shd w:val="clear" w:color="auto" w:fill="E5E5E5"/>
          </w:tcPr>
          <w:p>
            <w:pPr>
              <w:spacing w:after="0"/>
              <w:rPr>
                <w:sz w:val="11"/>
                <w:szCs w:val="11"/>
                <w:color w:val="auto"/>
              </w:rPr>
            </w:pPr>
          </w:p>
        </w:tc>
        <w:tc>
          <w:tcPr>
            <w:tcW w:w="740" w:type="dxa"/>
            <w:vAlign w:val="bottom"/>
            <w:shd w:val="clear" w:color="auto" w:fill="E5E5E5"/>
          </w:tcPr>
          <w:p>
            <w:pPr>
              <w:spacing w:after="0"/>
              <w:rPr>
                <w:sz w:val="11"/>
                <w:szCs w:val="11"/>
                <w:color w:val="auto"/>
              </w:rPr>
            </w:pPr>
          </w:p>
        </w:tc>
        <w:tc>
          <w:tcPr>
            <w:tcW w:w="1040" w:type="dxa"/>
            <w:vAlign w:val="bottom"/>
            <w:shd w:val="clear" w:color="auto" w:fill="E5E5E5"/>
          </w:tcPr>
          <w:p>
            <w:pPr>
              <w:spacing w:after="0"/>
              <w:rPr>
                <w:sz w:val="11"/>
                <w:szCs w:val="11"/>
                <w:color w:val="auto"/>
              </w:rPr>
            </w:pPr>
          </w:p>
        </w:tc>
        <w:tc>
          <w:tcPr>
            <w:tcW w:w="960" w:type="dxa"/>
            <w:vAlign w:val="bottom"/>
            <w:shd w:val="clear" w:color="auto" w:fill="E5E5E5"/>
          </w:tcPr>
          <w:p>
            <w:pPr>
              <w:spacing w:after="0"/>
              <w:rPr>
                <w:sz w:val="11"/>
                <w:szCs w:val="11"/>
                <w:color w:val="auto"/>
              </w:rPr>
            </w:pPr>
          </w:p>
        </w:tc>
        <w:tc>
          <w:tcPr>
            <w:tcW w:w="20" w:type="dxa"/>
            <w:vAlign w:val="bottom"/>
          </w:tcPr>
          <w:p>
            <w:pPr>
              <w:spacing w:after="0"/>
              <w:rPr>
                <w:sz w:val="11"/>
                <w:szCs w:val="11"/>
                <w:color w:val="auto"/>
              </w:rPr>
            </w:pPr>
          </w:p>
        </w:tc>
      </w:tr>
      <w:tr>
        <w:trPr>
          <w:trHeight w:val="157"/>
        </w:trPr>
        <w:tc>
          <w:tcPr>
            <w:tcW w:w="1920" w:type="dxa"/>
            <w:vAlign w:val="bottom"/>
            <w:tcBorders>
              <w:bottom w:val="single" w:sz="8" w:color="auto"/>
            </w:tcBorders>
            <w:shd w:val="clear" w:color="auto" w:fill="E5E5E5"/>
          </w:tcPr>
          <w:p>
            <w:pPr>
              <w:spacing w:after="0"/>
              <w:rPr>
                <w:sz w:val="13"/>
                <w:szCs w:val="13"/>
                <w:color w:val="auto"/>
              </w:rPr>
            </w:pPr>
          </w:p>
        </w:tc>
        <w:tc>
          <w:tcPr>
            <w:tcW w:w="11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3"/>
                <w:szCs w:val="13"/>
                <w:color w:val="auto"/>
              </w:rPr>
              <w:t>Shares</w:t>
            </w: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1,900</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3,948,257</w:t>
            </w:r>
          </w:p>
        </w:tc>
        <w:tc>
          <w:tcPr>
            <w:tcW w:w="10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34"/>
        </w:trPr>
        <w:tc>
          <w:tcPr>
            <w:tcW w:w="1920" w:type="dxa"/>
            <w:vAlign w:val="bottom"/>
          </w:tcPr>
          <w:p>
            <w:pPr>
              <w:spacing w:after="0" w:line="134" w:lineRule="exact"/>
              <w:rPr>
                <w:sz w:val="20"/>
                <w:szCs w:val="20"/>
                <w:color w:val="auto"/>
              </w:rPr>
            </w:pPr>
            <w:r>
              <w:rPr>
                <w:rFonts w:ascii="Arial" w:cs="Arial" w:eastAsia="Arial" w:hAnsi="Arial"/>
                <w:sz w:val="13"/>
                <w:szCs w:val="13"/>
                <w:color w:val="auto"/>
              </w:rPr>
              <w:t>Robert L. Seelig</w:t>
            </w:r>
          </w:p>
        </w:tc>
        <w:tc>
          <w:tcPr>
            <w:tcW w:w="1120" w:type="dxa"/>
            <w:vAlign w:val="bottom"/>
          </w:tcPr>
          <w:p>
            <w:pPr>
              <w:spacing w:after="0" w:line="134" w:lineRule="exact"/>
              <w:rPr>
                <w:sz w:val="20"/>
                <w:szCs w:val="20"/>
                <w:color w:val="auto"/>
              </w:rPr>
            </w:pPr>
            <w:r>
              <w:rPr>
                <w:rFonts w:ascii="Arial" w:cs="Arial" w:eastAsia="Arial" w:hAnsi="Arial"/>
                <w:sz w:val="13"/>
                <w:szCs w:val="13"/>
                <w:color w:val="auto"/>
              </w:rPr>
              <w:t>WTM Performance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7"/>
        </w:trPr>
        <w:tc>
          <w:tcPr>
            <w:tcW w:w="1920" w:type="dxa"/>
            <w:vAlign w:val="bottom"/>
          </w:tcPr>
          <w:p>
            <w:pPr>
              <w:spacing w:after="0"/>
              <w:rPr>
                <w:sz w:val="13"/>
                <w:szCs w:val="13"/>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Shares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1,725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7,174,454</w:t>
            </w:r>
          </w:p>
        </w:tc>
        <w:tc>
          <w:tcPr>
            <w:tcW w:w="20" w:type="dxa"/>
            <w:vAlign w:val="bottom"/>
          </w:tcPr>
          <w:p>
            <w:pPr>
              <w:spacing w:after="0"/>
              <w:rPr>
                <w:sz w:val="13"/>
                <w:szCs w:val="13"/>
                <w:color w:val="auto"/>
              </w:rPr>
            </w:pPr>
          </w:p>
        </w:tc>
      </w:tr>
      <w:tr>
        <w:trPr>
          <w:trHeight w:val="134"/>
        </w:trPr>
        <w:tc>
          <w:tcPr>
            <w:tcW w:w="1920" w:type="dxa"/>
            <w:vAlign w:val="bottom"/>
          </w:tcPr>
          <w:p>
            <w:pPr>
              <w:spacing w:after="0"/>
              <w:rPr>
                <w:sz w:val="11"/>
                <w:szCs w:val="11"/>
                <w:color w:val="auto"/>
              </w:rPr>
            </w:pPr>
          </w:p>
        </w:tc>
        <w:tc>
          <w:tcPr>
            <w:tcW w:w="1120" w:type="dxa"/>
            <w:vAlign w:val="bottom"/>
          </w:tcPr>
          <w:p>
            <w:pPr>
              <w:spacing w:after="0" w:line="134" w:lineRule="exact"/>
              <w:rPr>
                <w:sz w:val="20"/>
                <w:szCs w:val="20"/>
                <w:color w:val="auto"/>
              </w:rPr>
            </w:pPr>
            <w:r>
              <w:rPr>
                <w:rFonts w:ascii="Arial" w:cs="Arial" w:eastAsia="Arial" w:hAnsi="Arial"/>
                <w:sz w:val="13"/>
                <w:szCs w:val="13"/>
                <w:color w:val="auto"/>
              </w:rPr>
              <w:t>WTM Restricted</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7"/>
        </w:trPr>
        <w:tc>
          <w:tcPr>
            <w:tcW w:w="19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Shares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5,662,632</w:t>
            </w: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34"/>
        </w:trPr>
        <w:tc>
          <w:tcPr>
            <w:tcW w:w="1920" w:type="dxa"/>
            <w:vAlign w:val="bottom"/>
            <w:shd w:val="clear" w:color="auto" w:fill="E5E5E5"/>
          </w:tcPr>
          <w:p>
            <w:pPr>
              <w:spacing w:after="0" w:line="134" w:lineRule="exact"/>
              <w:rPr>
                <w:sz w:val="20"/>
                <w:szCs w:val="20"/>
                <w:color w:val="auto"/>
              </w:rPr>
            </w:pPr>
            <w:r>
              <w:rPr>
                <w:rFonts w:ascii="Arial" w:cs="Arial" w:eastAsia="Arial" w:hAnsi="Arial"/>
                <w:sz w:val="13"/>
                <w:szCs w:val="13"/>
                <w:color w:val="auto"/>
              </w:rPr>
              <w:t>Michaela J. Hildreth</w:t>
            </w:r>
          </w:p>
        </w:tc>
        <w:tc>
          <w:tcPr>
            <w:tcW w:w="1120" w:type="dxa"/>
            <w:vAlign w:val="bottom"/>
            <w:shd w:val="clear" w:color="auto" w:fill="E5E5E5"/>
          </w:tcPr>
          <w:p>
            <w:pPr>
              <w:spacing w:after="0" w:line="134" w:lineRule="exact"/>
              <w:rPr>
                <w:sz w:val="20"/>
                <w:szCs w:val="20"/>
                <w:color w:val="auto"/>
              </w:rPr>
            </w:pPr>
            <w:r>
              <w:rPr>
                <w:rFonts w:ascii="Arial" w:cs="Arial" w:eastAsia="Arial" w:hAnsi="Arial"/>
                <w:sz w:val="13"/>
                <w:szCs w:val="13"/>
                <w:color w:val="auto"/>
              </w:rPr>
              <w:t>WTM Performance</w:t>
            </w:r>
          </w:p>
        </w:tc>
        <w:tc>
          <w:tcPr>
            <w:tcW w:w="1080" w:type="dxa"/>
            <w:vAlign w:val="bottom"/>
            <w:shd w:val="clear" w:color="auto" w:fill="E5E5E5"/>
          </w:tcPr>
          <w:p>
            <w:pPr>
              <w:spacing w:after="0"/>
              <w:rPr>
                <w:sz w:val="11"/>
                <w:szCs w:val="11"/>
                <w:color w:val="auto"/>
              </w:rPr>
            </w:pPr>
          </w:p>
        </w:tc>
        <w:tc>
          <w:tcPr>
            <w:tcW w:w="1160" w:type="dxa"/>
            <w:vAlign w:val="bottom"/>
            <w:shd w:val="clear" w:color="auto" w:fill="E5E5E5"/>
          </w:tcPr>
          <w:p>
            <w:pPr>
              <w:spacing w:after="0"/>
              <w:rPr>
                <w:sz w:val="11"/>
                <w:szCs w:val="11"/>
                <w:color w:val="auto"/>
              </w:rPr>
            </w:pPr>
          </w:p>
        </w:tc>
        <w:tc>
          <w:tcPr>
            <w:tcW w:w="1020" w:type="dxa"/>
            <w:vAlign w:val="bottom"/>
            <w:shd w:val="clear" w:color="auto" w:fill="E5E5E5"/>
          </w:tcPr>
          <w:p>
            <w:pPr>
              <w:spacing w:after="0"/>
              <w:rPr>
                <w:sz w:val="11"/>
                <w:szCs w:val="11"/>
                <w:color w:val="auto"/>
              </w:rPr>
            </w:pPr>
          </w:p>
        </w:tc>
        <w:tc>
          <w:tcPr>
            <w:tcW w:w="700" w:type="dxa"/>
            <w:vAlign w:val="bottom"/>
            <w:shd w:val="clear" w:color="auto" w:fill="E5E5E5"/>
          </w:tcPr>
          <w:p>
            <w:pPr>
              <w:spacing w:after="0"/>
              <w:rPr>
                <w:sz w:val="11"/>
                <w:szCs w:val="11"/>
                <w:color w:val="auto"/>
              </w:rPr>
            </w:pPr>
          </w:p>
        </w:tc>
        <w:tc>
          <w:tcPr>
            <w:tcW w:w="56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840" w:type="dxa"/>
            <w:vAlign w:val="bottom"/>
            <w:shd w:val="clear" w:color="auto" w:fill="E5E5E5"/>
          </w:tcPr>
          <w:p>
            <w:pPr>
              <w:spacing w:after="0"/>
              <w:rPr>
                <w:sz w:val="11"/>
                <w:szCs w:val="11"/>
                <w:color w:val="auto"/>
              </w:rPr>
            </w:pPr>
          </w:p>
        </w:tc>
        <w:tc>
          <w:tcPr>
            <w:tcW w:w="740" w:type="dxa"/>
            <w:vAlign w:val="bottom"/>
            <w:shd w:val="clear" w:color="auto" w:fill="E5E5E5"/>
          </w:tcPr>
          <w:p>
            <w:pPr>
              <w:spacing w:after="0"/>
              <w:rPr>
                <w:sz w:val="11"/>
                <w:szCs w:val="11"/>
                <w:color w:val="auto"/>
              </w:rPr>
            </w:pPr>
          </w:p>
        </w:tc>
        <w:tc>
          <w:tcPr>
            <w:tcW w:w="1040" w:type="dxa"/>
            <w:vAlign w:val="bottom"/>
            <w:shd w:val="clear" w:color="auto" w:fill="E5E5E5"/>
          </w:tcPr>
          <w:p>
            <w:pPr>
              <w:spacing w:after="0"/>
              <w:rPr>
                <w:sz w:val="11"/>
                <w:szCs w:val="11"/>
                <w:color w:val="auto"/>
              </w:rPr>
            </w:pPr>
          </w:p>
        </w:tc>
        <w:tc>
          <w:tcPr>
            <w:tcW w:w="960" w:type="dxa"/>
            <w:vAlign w:val="bottom"/>
            <w:shd w:val="clear" w:color="auto" w:fill="E5E5E5"/>
          </w:tcPr>
          <w:p>
            <w:pPr>
              <w:spacing w:after="0"/>
              <w:rPr>
                <w:sz w:val="11"/>
                <w:szCs w:val="11"/>
                <w:color w:val="auto"/>
              </w:rPr>
            </w:pPr>
          </w:p>
        </w:tc>
        <w:tc>
          <w:tcPr>
            <w:tcW w:w="20" w:type="dxa"/>
            <w:vAlign w:val="bottom"/>
          </w:tcPr>
          <w:p>
            <w:pPr>
              <w:spacing w:after="0"/>
              <w:rPr>
                <w:sz w:val="11"/>
                <w:szCs w:val="11"/>
                <w:color w:val="auto"/>
              </w:rPr>
            </w:pPr>
          </w:p>
        </w:tc>
      </w:tr>
      <w:tr>
        <w:trPr>
          <w:trHeight w:val="157"/>
        </w:trPr>
        <w:tc>
          <w:tcPr>
            <w:tcW w:w="1920" w:type="dxa"/>
            <w:vAlign w:val="bottom"/>
            <w:tcBorders>
              <w:bottom w:val="single" w:sz="8" w:color="E5E5E5"/>
            </w:tcBorders>
            <w:shd w:val="clear" w:color="auto" w:fill="E5E5E5"/>
          </w:tcPr>
          <w:p>
            <w:pPr>
              <w:spacing w:after="0"/>
              <w:rPr>
                <w:sz w:val="13"/>
                <w:szCs w:val="13"/>
                <w:color w:val="auto"/>
              </w:rPr>
            </w:pPr>
          </w:p>
        </w:tc>
        <w:tc>
          <w:tcPr>
            <w:tcW w:w="11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3"/>
                <w:szCs w:val="13"/>
                <w:color w:val="auto"/>
              </w:rPr>
              <w:t>Shares</w:t>
            </w: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3"/>
                <w:szCs w:val="13"/>
                <w:color w:val="auto"/>
              </w:rPr>
              <w:t>1,225</w:t>
            </w: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5,094,824</w:t>
            </w:r>
          </w:p>
        </w:tc>
        <w:tc>
          <w:tcPr>
            <w:tcW w:w="20" w:type="dxa"/>
            <w:vAlign w:val="bottom"/>
          </w:tcPr>
          <w:p>
            <w:pPr>
              <w:spacing w:after="0"/>
              <w:rPr>
                <w:sz w:val="13"/>
                <w:szCs w:val="13"/>
                <w:color w:val="auto"/>
              </w:rPr>
            </w:pPr>
          </w:p>
        </w:tc>
      </w:tr>
      <w:tr>
        <w:trPr>
          <w:trHeight w:val="134"/>
        </w:trPr>
        <w:tc>
          <w:tcPr>
            <w:tcW w:w="1920" w:type="dxa"/>
            <w:vAlign w:val="bottom"/>
            <w:shd w:val="clear" w:color="auto" w:fill="E5E5E5"/>
          </w:tcPr>
          <w:p>
            <w:pPr>
              <w:spacing w:after="0"/>
              <w:rPr>
                <w:sz w:val="11"/>
                <w:szCs w:val="11"/>
                <w:color w:val="auto"/>
              </w:rPr>
            </w:pPr>
          </w:p>
        </w:tc>
        <w:tc>
          <w:tcPr>
            <w:tcW w:w="1120" w:type="dxa"/>
            <w:vAlign w:val="bottom"/>
            <w:shd w:val="clear" w:color="auto" w:fill="E5E5E5"/>
          </w:tcPr>
          <w:p>
            <w:pPr>
              <w:spacing w:after="0" w:line="134" w:lineRule="exact"/>
              <w:rPr>
                <w:sz w:val="20"/>
                <w:szCs w:val="20"/>
                <w:color w:val="auto"/>
              </w:rPr>
            </w:pPr>
            <w:r>
              <w:rPr>
                <w:rFonts w:ascii="Arial" w:cs="Arial" w:eastAsia="Arial" w:hAnsi="Arial"/>
                <w:sz w:val="13"/>
                <w:szCs w:val="13"/>
                <w:color w:val="auto"/>
              </w:rPr>
              <w:t>WTM Restricted</w:t>
            </w:r>
          </w:p>
        </w:tc>
        <w:tc>
          <w:tcPr>
            <w:tcW w:w="1080" w:type="dxa"/>
            <w:vAlign w:val="bottom"/>
            <w:shd w:val="clear" w:color="auto" w:fill="E5E5E5"/>
          </w:tcPr>
          <w:p>
            <w:pPr>
              <w:spacing w:after="0"/>
              <w:rPr>
                <w:sz w:val="11"/>
                <w:szCs w:val="11"/>
                <w:color w:val="auto"/>
              </w:rPr>
            </w:pPr>
          </w:p>
        </w:tc>
        <w:tc>
          <w:tcPr>
            <w:tcW w:w="1160" w:type="dxa"/>
            <w:vAlign w:val="bottom"/>
            <w:shd w:val="clear" w:color="auto" w:fill="E5E5E5"/>
          </w:tcPr>
          <w:p>
            <w:pPr>
              <w:spacing w:after="0"/>
              <w:rPr>
                <w:sz w:val="11"/>
                <w:szCs w:val="11"/>
                <w:color w:val="auto"/>
              </w:rPr>
            </w:pPr>
          </w:p>
        </w:tc>
        <w:tc>
          <w:tcPr>
            <w:tcW w:w="1020" w:type="dxa"/>
            <w:vAlign w:val="bottom"/>
            <w:shd w:val="clear" w:color="auto" w:fill="E5E5E5"/>
          </w:tcPr>
          <w:p>
            <w:pPr>
              <w:spacing w:after="0"/>
              <w:rPr>
                <w:sz w:val="11"/>
                <w:szCs w:val="11"/>
                <w:color w:val="auto"/>
              </w:rPr>
            </w:pPr>
          </w:p>
        </w:tc>
        <w:tc>
          <w:tcPr>
            <w:tcW w:w="700" w:type="dxa"/>
            <w:vAlign w:val="bottom"/>
            <w:shd w:val="clear" w:color="auto" w:fill="E5E5E5"/>
          </w:tcPr>
          <w:p>
            <w:pPr>
              <w:spacing w:after="0"/>
              <w:rPr>
                <w:sz w:val="11"/>
                <w:szCs w:val="11"/>
                <w:color w:val="auto"/>
              </w:rPr>
            </w:pPr>
          </w:p>
        </w:tc>
        <w:tc>
          <w:tcPr>
            <w:tcW w:w="56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840" w:type="dxa"/>
            <w:vAlign w:val="bottom"/>
            <w:shd w:val="clear" w:color="auto" w:fill="E5E5E5"/>
          </w:tcPr>
          <w:p>
            <w:pPr>
              <w:spacing w:after="0"/>
              <w:rPr>
                <w:sz w:val="11"/>
                <w:szCs w:val="11"/>
                <w:color w:val="auto"/>
              </w:rPr>
            </w:pPr>
          </w:p>
        </w:tc>
        <w:tc>
          <w:tcPr>
            <w:tcW w:w="740" w:type="dxa"/>
            <w:vAlign w:val="bottom"/>
            <w:shd w:val="clear" w:color="auto" w:fill="E5E5E5"/>
          </w:tcPr>
          <w:p>
            <w:pPr>
              <w:spacing w:after="0"/>
              <w:rPr>
                <w:sz w:val="11"/>
                <w:szCs w:val="11"/>
                <w:color w:val="auto"/>
              </w:rPr>
            </w:pPr>
          </w:p>
        </w:tc>
        <w:tc>
          <w:tcPr>
            <w:tcW w:w="1040" w:type="dxa"/>
            <w:vAlign w:val="bottom"/>
            <w:shd w:val="clear" w:color="auto" w:fill="E5E5E5"/>
          </w:tcPr>
          <w:p>
            <w:pPr>
              <w:spacing w:after="0"/>
              <w:rPr>
                <w:sz w:val="11"/>
                <w:szCs w:val="11"/>
                <w:color w:val="auto"/>
              </w:rPr>
            </w:pPr>
          </w:p>
        </w:tc>
        <w:tc>
          <w:tcPr>
            <w:tcW w:w="960" w:type="dxa"/>
            <w:vAlign w:val="bottom"/>
            <w:shd w:val="clear" w:color="auto" w:fill="E5E5E5"/>
          </w:tcPr>
          <w:p>
            <w:pPr>
              <w:spacing w:after="0"/>
              <w:rPr>
                <w:sz w:val="11"/>
                <w:szCs w:val="11"/>
                <w:color w:val="auto"/>
              </w:rPr>
            </w:pPr>
          </w:p>
        </w:tc>
        <w:tc>
          <w:tcPr>
            <w:tcW w:w="20" w:type="dxa"/>
            <w:vAlign w:val="bottom"/>
          </w:tcPr>
          <w:p>
            <w:pPr>
              <w:spacing w:after="0"/>
              <w:rPr>
                <w:sz w:val="11"/>
                <w:szCs w:val="11"/>
                <w:color w:val="auto"/>
              </w:rPr>
            </w:pPr>
          </w:p>
        </w:tc>
      </w:tr>
      <w:tr>
        <w:trPr>
          <w:trHeight w:val="157"/>
        </w:trPr>
        <w:tc>
          <w:tcPr>
            <w:tcW w:w="1920" w:type="dxa"/>
            <w:vAlign w:val="bottom"/>
            <w:tcBorders>
              <w:bottom w:val="single" w:sz="8" w:color="auto"/>
            </w:tcBorders>
            <w:shd w:val="clear" w:color="auto" w:fill="E5E5E5"/>
          </w:tcPr>
          <w:p>
            <w:pPr>
              <w:spacing w:after="0"/>
              <w:rPr>
                <w:sz w:val="13"/>
                <w:szCs w:val="13"/>
                <w:color w:val="auto"/>
              </w:rPr>
            </w:pPr>
          </w:p>
        </w:tc>
        <w:tc>
          <w:tcPr>
            <w:tcW w:w="11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3"/>
                <w:szCs w:val="13"/>
                <w:color w:val="auto"/>
              </w:rPr>
              <w:t>Shares</w:t>
            </w: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1,825</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3,792,405</w:t>
            </w:r>
          </w:p>
        </w:tc>
        <w:tc>
          <w:tcPr>
            <w:tcW w:w="10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bl>
    <w:p>
      <w:pPr>
        <w:spacing w:after="0" w:line="187" w:lineRule="exact"/>
        <w:rPr>
          <w:sz w:val="20"/>
          <w:szCs w:val="20"/>
          <w:color w:val="auto"/>
        </w:rPr>
      </w:pPr>
    </w:p>
    <w:p>
      <w:pPr>
        <w:ind w:left="300" w:right="520" w:hanging="300"/>
        <w:spacing w:after="0" w:line="250" w:lineRule="auto"/>
        <w:tabs>
          <w:tab w:leader="none" w:pos="3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Equity incentive plan awards not yet vested at December 31, 2025 for Messrs. Rountree, Caffrey, Harrison and Seelig and Ms. Hildreth include 1,625, 1,025, 900, 825 and 625 target WTM performance shares, respectively, for the 2025-2027 performance cycle and 1,800, 1,125, 1,000, 900 and 600 target WTM performance shares, respectively, for the 2024-2026 performance cycle. Payout values for WTM performance shares are shown at 200% of target for both the 2025-2027 and the 2024-2026 performance cycles and based on the December 31, 2025 closing market price ($2,078.03) including dividends declared since the grant date.</w:t>
      </w:r>
    </w:p>
    <w:p>
      <w:pPr>
        <w:spacing w:after="0" w:line="159" w:lineRule="exact"/>
        <w:rPr>
          <w:rFonts w:ascii="Arial" w:cs="Arial" w:eastAsia="Arial" w:hAnsi="Arial"/>
          <w:sz w:val="15"/>
          <w:szCs w:val="15"/>
          <w:color w:val="auto"/>
        </w:rPr>
      </w:pPr>
    </w:p>
    <w:p>
      <w:pPr>
        <w:ind w:left="300" w:right="420" w:hanging="300"/>
        <w:spacing w:after="0" w:line="253" w:lineRule="auto"/>
        <w:tabs>
          <w:tab w:leader="none" w:pos="3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Stock awards not yet vested at December 31, 2025 for Messrs. Rountree, Caffrey, Harrison and Seelig and Ms. Hildreth include 1,625, 1,025, 900, 825 and 625 WTM restricted shares, respectively, that vest on January 1, 2028; 1,800, 1,125, 1,000, 900 and 600 WTM restricted shares, respectively, that vest on January 1, 2027; and 2,000, 1,250, 0, 1,000 and 600 WTM restricted shares, respectively, that vested on January 1, 2026. Market values are based on the December 31, 2025 closing market price ($2,078.03).</w:t>
      </w:r>
    </w:p>
    <w:p>
      <w:pPr>
        <w:spacing w:after="0" w:line="143" w:lineRule="exact"/>
        <w:rPr>
          <w:rFonts w:ascii="Arial" w:cs="Arial" w:eastAsia="Arial" w:hAnsi="Arial"/>
          <w:sz w:val="15"/>
          <w:szCs w:val="15"/>
          <w:color w:val="auto"/>
        </w:rPr>
      </w:pPr>
    </w:p>
    <w:p>
      <w:pPr>
        <w:ind w:left="300" w:hanging="300"/>
        <w:spacing w:after="0"/>
        <w:tabs>
          <w:tab w:leader="none" w:pos="3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Excludes WTM performance shares for the 2023-2025 performance cycle, which vested on December 31, 2025. See “Option Exercises and Stock Vested.”</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790"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Option Exercises and Stock Vested</w:t>
      </w:r>
    </w:p>
    <w:p>
      <w:pPr>
        <w:spacing w:after="0" w:line="191" w:lineRule="exact"/>
        <w:rPr>
          <w:sz w:val="20"/>
          <w:szCs w:val="20"/>
          <w:color w:val="auto"/>
        </w:rPr>
      </w:pPr>
    </w:p>
    <w:p>
      <w:pPr>
        <w:ind w:right="620" w:firstLine="299"/>
        <w:spacing w:after="0" w:line="270" w:lineRule="auto"/>
        <w:rPr>
          <w:sz w:val="20"/>
          <w:szCs w:val="20"/>
          <w:color w:val="auto"/>
        </w:rPr>
      </w:pPr>
      <w:r>
        <w:rPr>
          <w:rFonts w:ascii="Arial" w:cs="Arial" w:eastAsia="Arial" w:hAnsi="Arial"/>
          <w:sz w:val="18"/>
          <w:szCs w:val="18"/>
          <w:color w:val="auto"/>
        </w:rPr>
        <w:t>The following table presents stock awards that vested in 2025 for each of the Named Executive Officers. No option awards were exercised by the Named Executive Officers during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714311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60" w:type="dxa"/>
            <w:vAlign w:val="bottom"/>
          </w:tcPr>
          <w:p>
            <w:pPr>
              <w:spacing w:after="0"/>
              <w:rPr>
                <w:sz w:val="16"/>
                <w:szCs w:val="16"/>
                <w:color w:val="auto"/>
              </w:rPr>
            </w:pPr>
          </w:p>
        </w:tc>
        <w:tc>
          <w:tcPr>
            <w:tcW w:w="3580" w:type="dxa"/>
            <w:vAlign w:val="bottom"/>
            <w:gridSpan w:val="3"/>
          </w:tcPr>
          <w:p>
            <w:pPr>
              <w:ind w:left="900"/>
              <w:spacing w:after="0"/>
              <w:rPr>
                <w:sz w:val="20"/>
                <w:szCs w:val="20"/>
                <w:color w:val="auto"/>
              </w:rPr>
            </w:pPr>
            <w:r>
              <w:rPr>
                <w:rFonts w:ascii="Arial" w:cs="Arial" w:eastAsia="Arial" w:hAnsi="Arial"/>
                <w:sz w:val="15"/>
                <w:szCs w:val="15"/>
                <w:color w:val="auto"/>
              </w:rPr>
              <w:t>Option Awards Exercised</w:t>
            </w:r>
          </w:p>
        </w:tc>
        <w:tc>
          <w:tcPr>
            <w:tcW w:w="2060" w:type="dxa"/>
            <w:vAlign w:val="bottom"/>
          </w:tcPr>
          <w:p>
            <w:pPr>
              <w:spacing w:after="0"/>
              <w:rPr>
                <w:sz w:val="16"/>
                <w:szCs w:val="16"/>
                <w:color w:val="auto"/>
              </w:rPr>
            </w:pPr>
          </w:p>
        </w:tc>
        <w:tc>
          <w:tcPr>
            <w:tcW w:w="2780" w:type="dxa"/>
            <w:vAlign w:val="bottom"/>
            <w:gridSpan w:val="2"/>
          </w:tcPr>
          <w:p>
            <w:pPr>
              <w:jc w:val="right"/>
              <w:ind w:right="1005"/>
              <w:spacing w:after="0"/>
              <w:rPr>
                <w:sz w:val="20"/>
                <w:szCs w:val="20"/>
                <w:color w:val="auto"/>
              </w:rPr>
            </w:pPr>
            <w:r>
              <w:rPr>
                <w:rFonts w:ascii="Arial" w:cs="Arial" w:eastAsia="Arial" w:hAnsi="Arial"/>
                <w:sz w:val="15"/>
                <w:szCs w:val="15"/>
                <w:color w:val="auto"/>
              </w:rPr>
              <w:t>Stock Awards Vested</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560" w:type="dxa"/>
            <w:vAlign w:val="bottom"/>
          </w:tcPr>
          <w:p>
            <w:pPr>
              <w:spacing w:after="0"/>
              <w:rPr>
                <w:sz w:val="13"/>
                <w:szCs w:val="13"/>
                <w:color w:val="auto"/>
              </w:rPr>
            </w:pPr>
          </w:p>
        </w:tc>
        <w:tc>
          <w:tcPr>
            <w:tcW w:w="2320" w:type="dxa"/>
            <w:vAlign w:val="bottom"/>
            <w:tcBorders>
              <w:top w:val="single" w:sz="8" w:color="auto"/>
            </w:tcBorders>
          </w:tcPr>
          <w:p>
            <w:pPr>
              <w:jc w:val="right"/>
              <w:ind w:right="65"/>
              <w:spacing w:after="0" w:line="154" w:lineRule="exact"/>
              <w:rPr>
                <w:sz w:val="20"/>
                <w:szCs w:val="20"/>
                <w:color w:val="auto"/>
              </w:rPr>
            </w:pPr>
            <w:r>
              <w:rPr>
                <w:rFonts w:ascii="Arial" w:cs="Arial" w:eastAsia="Arial" w:hAnsi="Arial"/>
                <w:sz w:val="15"/>
                <w:szCs w:val="15"/>
                <w:color w:val="auto"/>
              </w:rPr>
              <w:t>Number of Shares</w:t>
            </w:r>
          </w:p>
        </w:tc>
        <w:tc>
          <w:tcPr>
            <w:tcW w:w="116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5"/>
                <w:szCs w:val="15"/>
                <w:color w:val="auto"/>
              </w:rPr>
              <w:t>Value Realized</w:t>
            </w:r>
          </w:p>
        </w:tc>
        <w:tc>
          <w:tcPr>
            <w:tcW w:w="100" w:type="dxa"/>
            <w:vAlign w:val="bottom"/>
          </w:tcPr>
          <w:p>
            <w:pPr>
              <w:spacing w:after="0"/>
              <w:rPr>
                <w:sz w:val="13"/>
                <w:szCs w:val="13"/>
                <w:color w:val="auto"/>
              </w:rPr>
            </w:pPr>
          </w:p>
        </w:tc>
        <w:tc>
          <w:tcPr>
            <w:tcW w:w="20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jc w:val="right"/>
              <w:ind w:right="185"/>
              <w:spacing w:after="0" w:line="154" w:lineRule="exact"/>
              <w:rPr>
                <w:sz w:val="20"/>
                <w:szCs w:val="20"/>
                <w:color w:val="auto"/>
              </w:rPr>
            </w:pPr>
            <w:r>
              <w:rPr>
                <w:rFonts w:ascii="Arial" w:cs="Arial" w:eastAsia="Arial" w:hAnsi="Arial"/>
                <w:sz w:val="15"/>
                <w:szCs w:val="15"/>
                <w:color w:val="auto"/>
              </w:rPr>
              <w:t>Number of Shares</w:t>
            </w:r>
          </w:p>
        </w:tc>
        <w:tc>
          <w:tcPr>
            <w:tcW w:w="126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5"/>
                <w:szCs w:val="15"/>
                <w:color w:val="auto"/>
              </w:rPr>
              <w:t>Value Realized</w:t>
            </w:r>
          </w:p>
        </w:tc>
        <w:tc>
          <w:tcPr>
            <w:tcW w:w="0" w:type="dxa"/>
            <w:vAlign w:val="bottom"/>
          </w:tcPr>
          <w:p>
            <w:pPr>
              <w:spacing w:after="0"/>
              <w:rPr>
                <w:sz w:val="1"/>
                <w:szCs w:val="1"/>
                <w:color w:val="auto"/>
              </w:rPr>
            </w:pPr>
          </w:p>
        </w:tc>
      </w:tr>
      <w:tr>
        <w:trPr>
          <w:trHeight w:val="174"/>
        </w:trPr>
        <w:tc>
          <w:tcPr>
            <w:tcW w:w="1560" w:type="dxa"/>
            <w:vAlign w:val="bottom"/>
            <w:vMerge w:val="restart"/>
          </w:tcPr>
          <w:p>
            <w:pPr>
              <w:spacing w:after="0"/>
              <w:rPr>
                <w:sz w:val="20"/>
                <w:szCs w:val="20"/>
                <w:color w:val="auto"/>
              </w:rPr>
            </w:pPr>
            <w:r>
              <w:rPr>
                <w:rFonts w:ascii="Arial" w:cs="Arial" w:eastAsia="Arial" w:hAnsi="Arial"/>
                <w:sz w:val="15"/>
                <w:szCs w:val="15"/>
                <w:color w:val="auto"/>
              </w:rPr>
              <w:t>Name</w:t>
            </w:r>
          </w:p>
        </w:tc>
        <w:tc>
          <w:tcPr>
            <w:tcW w:w="2320" w:type="dxa"/>
            <w:vAlign w:val="bottom"/>
          </w:tcPr>
          <w:p>
            <w:pPr>
              <w:jc w:val="right"/>
              <w:ind w:right="65"/>
              <w:spacing w:after="0"/>
              <w:rPr>
                <w:sz w:val="20"/>
                <w:szCs w:val="20"/>
                <w:color w:val="auto"/>
              </w:rPr>
            </w:pPr>
            <w:r>
              <w:rPr>
                <w:rFonts w:ascii="Arial" w:cs="Arial" w:eastAsia="Arial" w:hAnsi="Arial"/>
                <w:sz w:val="15"/>
                <w:szCs w:val="15"/>
                <w:color w:val="auto"/>
              </w:rPr>
              <w:t>Acquired on</w:t>
            </w:r>
          </w:p>
        </w:tc>
        <w:tc>
          <w:tcPr>
            <w:tcW w:w="1260" w:type="dxa"/>
            <w:vAlign w:val="bottom"/>
            <w:gridSpan w:val="2"/>
          </w:tcPr>
          <w:p>
            <w:pPr>
              <w:jc w:val="right"/>
              <w:ind w:right="100"/>
              <w:spacing w:after="0"/>
              <w:rPr>
                <w:sz w:val="20"/>
                <w:szCs w:val="20"/>
                <w:color w:val="auto"/>
              </w:rPr>
            </w:pPr>
            <w:r>
              <w:rPr>
                <w:rFonts w:ascii="Arial" w:cs="Arial" w:eastAsia="Arial" w:hAnsi="Arial"/>
                <w:sz w:val="15"/>
                <w:szCs w:val="15"/>
                <w:color w:val="auto"/>
              </w:rPr>
              <w:t>on Exercise</w:t>
            </w:r>
          </w:p>
        </w:tc>
        <w:tc>
          <w:tcPr>
            <w:tcW w:w="2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80" w:type="dxa"/>
            <w:vAlign w:val="bottom"/>
          </w:tcPr>
          <w:p>
            <w:pPr>
              <w:jc w:val="right"/>
              <w:ind w:right="145"/>
              <w:spacing w:after="0"/>
              <w:rPr>
                <w:sz w:val="20"/>
                <w:szCs w:val="20"/>
                <w:color w:val="auto"/>
              </w:rPr>
            </w:pPr>
            <w:r>
              <w:rPr>
                <w:rFonts w:ascii="Arial" w:cs="Arial" w:eastAsia="Arial" w:hAnsi="Arial"/>
                <w:sz w:val="15"/>
                <w:szCs w:val="15"/>
                <w:color w:val="auto"/>
              </w:rPr>
              <w:t>Acquired on Vesting</w:t>
            </w:r>
          </w:p>
        </w:tc>
        <w:tc>
          <w:tcPr>
            <w:tcW w:w="1260" w:type="dxa"/>
            <w:vAlign w:val="bottom"/>
          </w:tcPr>
          <w:p>
            <w:pPr>
              <w:jc w:val="right"/>
              <w:spacing w:after="0"/>
              <w:rPr>
                <w:sz w:val="20"/>
                <w:szCs w:val="20"/>
                <w:color w:val="auto"/>
              </w:rPr>
            </w:pPr>
            <w:r>
              <w:rPr>
                <w:rFonts w:ascii="Arial" w:cs="Arial" w:eastAsia="Arial" w:hAnsi="Arial"/>
                <w:sz w:val="15"/>
                <w:szCs w:val="15"/>
                <w:color w:val="auto"/>
              </w:rPr>
              <w:t>on Vesting</w:t>
            </w:r>
          </w:p>
        </w:tc>
        <w:tc>
          <w:tcPr>
            <w:tcW w:w="0" w:type="dxa"/>
            <w:vAlign w:val="bottom"/>
          </w:tcPr>
          <w:p>
            <w:pPr>
              <w:spacing w:after="0"/>
              <w:rPr>
                <w:sz w:val="1"/>
                <w:szCs w:val="1"/>
                <w:color w:val="auto"/>
              </w:rPr>
            </w:pPr>
          </w:p>
        </w:tc>
      </w:tr>
      <w:tr>
        <w:trPr>
          <w:trHeight w:val="186"/>
        </w:trPr>
        <w:tc>
          <w:tcPr>
            <w:tcW w:w="1560" w:type="dxa"/>
            <w:vAlign w:val="bottom"/>
            <w:tcBorders>
              <w:bottom w:val="single" w:sz="8" w:color="auto"/>
            </w:tcBorders>
            <w:vMerge w:val="continue"/>
          </w:tcPr>
          <w:p>
            <w:pPr>
              <w:spacing w:after="0"/>
              <w:rPr>
                <w:sz w:val="16"/>
                <w:szCs w:val="16"/>
                <w:color w:val="auto"/>
              </w:rPr>
            </w:pPr>
          </w:p>
        </w:tc>
        <w:tc>
          <w:tcPr>
            <w:tcW w:w="23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Exercise (#)</w:t>
            </w:r>
          </w:p>
        </w:tc>
        <w:tc>
          <w:tcPr>
            <w:tcW w:w="12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w:t>
            </w:r>
          </w:p>
        </w:tc>
        <w:tc>
          <w:tcPr>
            <w:tcW w:w="20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Type of Award</w:t>
            </w:r>
          </w:p>
        </w:tc>
        <w:tc>
          <w:tcPr>
            <w:tcW w:w="1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5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5"/>
                <w:szCs w:val="15"/>
                <w:color w:val="auto"/>
              </w:rPr>
              <w:t>G. Manning Rountree</w:t>
            </w:r>
          </w:p>
        </w:tc>
        <w:tc>
          <w:tcPr>
            <w:tcW w:w="2320" w:type="dxa"/>
            <w:vAlign w:val="bottom"/>
            <w:tcBorders>
              <w:bottom w:val="single" w:sz="8" w:color="E5E5E5"/>
            </w:tcBorders>
            <w:shd w:val="clear" w:color="auto" w:fill="E5E5E5"/>
          </w:tcPr>
          <w:p>
            <w:pPr>
              <w:jc w:val="right"/>
              <w:ind w:right="65"/>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E5E5E5"/>
            </w:tcBorders>
            <w:gridSpan w:val="2"/>
            <w:shd w:val="clear" w:color="auto" w:fill="E5E5E5"/>
          </w:tcPr>
          <w:p>
            <w:pPr>
              <w:jc w:val="right"/>
              <w:ind w:right="100"/>
              <w:spacing w:after="0"/>
              <w:rPr>
                <w:sz w:val="20"/>
                <w:szCs w:val="20"/>
                <w:color w:val="auto"/>
              </w:rPr>
            </w:pPr>
            <w:r>
              <w:rPr>
                <w:rFonts w:ascii="Arial" w:cs="Arial" w:eastAsia="Arial" w:hAnsi="Arial"/>
                <w:sz w:val="15"/>
                <w:szCs w:val="15"/>
                <w:color w:val="auto"/>
              </w:rPr>
              <w:t>-</w:t>
            </w:r>
          </w:p>
        </w:tc>
        <w:tc>
          <w:tcPr>
            <w:tcW w:w="20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5"/>
                <w:szCs w:val="15"/>
                <w:color w:val="auto"/>
              </w:rPr>
              <w:t>WTM Performance Shares</w:t>
            </w:r>
          </w:p>
        </w:tc>
        <w:tc>
          <w:tcPr>
            <w:tcW w:w="1100" w:type="dxa"/>
            <w:vAlign w:val="bottom"/>
            <w:tcBorders>
              <w:bottom w:val="single" w:sz="8" w:color="auto"/>
            </w:tcBorders>
            <w:shd w:val="clear" w:color="auto" w:fill="E5E5E5"/>
          </w:tcPr>
          <w:p>
            <w:pPr>
              <w:ind w:left="800"/>
              <w:spacing w:after="0"/>
              <w:rPr>
                <w:sz w:val="20"/>
                <w:szCs w:val="20"/>
                <w:color w:val="auto"/>
              </w:rPr>
            </w:pPr>
            <w:r>
              <w:rPr>
                <w:rFonts w:ascii="Arial" w:cs="Arial" w:eastAsia="Arial" w:hAnsi="Arial"/>
                <w:sz w:val="15"/>
                <w:szCs w:val="15"/>
                <w:color w:val="auto"/>
              </w:rPr>
              <w:t>(a)</w:t>
            </w:r>
          </w:p>
        </w:tc>
        <w:tc>
          <w:tcPr>
            <w:tcW w:w="1680" w:type="dxa"/>
            <w:vAlign w:val="bottom"/>
            <w:tcBorders>
              <w:bottom w:val="single" w:sz="8" w:color="auto"/>
            </w:tcBorders>
            <w:shd w:val="clear" w:color="auto" w:fill="E5E5E5"/>
          </w:tcPr>
          <w:p>
            <w:pPr>
              <w:jc w:val="right"/>
              <w:ind w:right="145"/>
              <w:spacing w:after="0"/>
              <w:rPr>
                <w:sz w:val="20"/>
                <w:szCs w:val="20"/>
                <w:color w:val="auto"/>
              </w:rPr>
            </w:pPr>
            <w:r>
              <w:rPr>
                <w:rFonts w:ascii="Arial" w:cs="Arial" w:eastAsia="Arial" w:hAnsi="Arial"/>
                <w:sz w:val="15"/>
                <w:szCs w:val="15"/>
                <w:color w:val="auto"/>
              </w:rPr>
              <w:t>3,680</w:t>
            </w:r>
          </w:p>
        </w:tc>
        <w:tc>
          <w:tcPr>
            <w:tcW w:w="1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5"/>
                <w:szCs w:val="15"/>
                <w:color w:val="auto"/>
              </w:rPr>
              <w:t>8,139,608</w:t>
            </w:r>
          </w:p>
        </w:tc>
        <w:tc>
          <w:tcPr>
            <w:tcW w:w="0" w:type="dxa"/>
            <w:vAlign w:val="bottom"/>
          </w:tcPr>
          <w:p>
            <w:pPr>
              <w:spacing w:after="0"/>
              <w:rPr>
                <w:sz w:val="1"/>
                <w:szCs w:val="1"/>
                <w:color w:val="auto"/>
              </w:rPr>
            </w:pPr>
          </w:p>
        </w:tc>
      </w:tr>
      <w:tr>
        <w:trPr>
          <w:trHeight w:val="167"/>
        </w:trPr>
        <w:tc>
          <w:tcPr>
            <w:tcW w:w="1560" w:type="dxa"/>
            <w:vAlign w:val="bottom"/>
            <w:tcBorders>
              <w:bottom w:val="single" w:sz="8" w:color="auto"/>
            </w:tcBorders>
            <w:shd w:val="clear" w:color="auto" w:fill="E5E5E5"/>
          </w:tcPr>
          <w:p>
            <w:pPr>
              <w:spacing w:after="0"/>
              <w:rPr>
                <w:sz w:val="14"/>
                <w:szCs w:val="14"/>
                <w:color w:val="auto"/>
              </w:rPr>
            </w:pPr>
          </w:p>
        </w:tc>
        <w:tc>
          <w:tcPr>
            <w:tcW w:w="2320" w:type="dxa"/>
            <w:vAlign w:val="bottom"/>
            <w:tcBorders>
              <w:bottom w:val="single" w:sz="8" w:color="auto"/>
            </w:tcBorders>
            <w:shd w:val="clear" w:color="auto" w:fill="E5E5E5"/>
          </w:tcPr>
          <w:p>
            <w:pPr>
              <w:spacing w:after="0"/>
              <w:rPr>
                <w:sz w:val="14"/>
                <w:szCs w:val="14"/>
                <w:color w:val="auto"/>
              </w:rPr>
            </w:pPr>
          </w:p>
        </w:tc>
        <w:tc>
          <w:tcPr>
            <w:tcW w:w="1160" w:type="dxa"/>
            <w:vAlign w:val="bottom"/>
            <w:tcBorders>
              <w:bottom w:val="single" w:sz="8" w:color="auto"/>
            </w:tcBorders>
            <w:shd w:val="clear" w:color="auto" w:fill="E5E5E5"/>
          </w:tcPr>
          <w:p>
            <w:pPr>
              <w:spacing w:after="0"/>
              <w:rPr>
                <w:sz w:val="14"/>
                <w:szCs w:val="14"/>
                <w:color w:val="auto"/>
              </w:rPr>
            </w:pPr>
          </w:p>
        </w:tc>
        <w:tc>
          <w:tcPr>
            <w:tcW w:w="100" w:type="dxa"/>
            <w:vAlign w:val="bottom"/>
            <w:tcBorders>
              <w:bottom w:val="single" w:sz="8" w:color="auto"/>
            </w:tcBorders>
            <w:shd w:val="clear" w:color="auto" w:fill="E5E5E5"/>
          </w:tcPr>
          <w:p>
            <w:pPr>
              <w:spacing w:after="0"/>
              <w:rPr>
                <w:sz w:val="14"/>
                <w:szCs w:val="14"/>
                <w:color w:val="auto"/>
              </w:rPr>
            </w:pPr>
          </w:p>
        </w:tc>
        <w:tc>
          <w:tcPr>
            <w:tcW w:w="2060" w:type="dxa"/>
            <w:vAlign w:val="bottom"/>
            <w:tcBorders>
              <w:bottom w:val="single" w:sz="8" w:color="auto"/>
            </w:tcBorders>
            <w:shd w:val="clear" w:color="auto" w:fill="E5E5E5"/>
          </w:tcPr>
          <w:p>
            <w:pPr>
              <w:spacing w:after="0" w:line="167" w:lineRule="exact"/>
              <w:rPr>
                <w:sz w:val="20"/>
                <w:szCs w:val="20"/>
                <w:color w:val="auto"/>
              </w:rPr>
            </w:pPr>
            <w:r>
              <w:rPr>
                <w:rFonts w:ascii="Arial" w:cs="Arial" w:eastAsia="Arial" w:hAnsi="Arial"/>
                <w:sz w:val="15"/>
                <w:szCs w:val="15"/>
                <w:color w:val="auto"/>
              </w:rPr>
              <w:t>WTM Restricted Shares</w:t>
            </w:r>
          </w:p>
        </w:tc>
        <w:tc>
          <w:tcPr>
            <w:tcW w:w="1100" w:type="dxa"/>
            <w:vAlign w:val="bottom"/>
            <w:tcBorders>
              <w:bottom w:val="single" w:sz="8" w:color="auto"/>
            </w:tcBorders>
            <w:shd w:val="clear" w:color="auto" w:fill="E5E5E5"/>
          </w:tcPr>
          <w:p>
            <w:pPr>
              <w:ind w:left="800"/>
              <w:spacing w:after="0" w:line="167" w:lineRule="exact"/>
              <w:rPr>
                <w:sz w:val="20"/>
                <w:szCs w:val="20"/>
                <w:color w:val="auto"/>
              </w:rPr>
            </w:pPr>
            <w:r>
              <w:rPr>
                <w:rFonts w:ascii="Arial" w:cs="Arial" w:eastAsia="Arial" w:hAnsi="Arial"/>
                <w:sz w:val="15"/>
                <w:szCs w:val="15"/>
                <w:color w:val="auto"/>
              </w:rPr>
              <w:t>(b)</w:t>
            </w:r>
          </w:p>
        </w:tc>
        <w:tc>
          <w:tcPr>
            <w:tcW w:w="1680" w:type="dxa"/>
            <w:vAlign w:val="bottom"/>
            <w:tcBorders>
              <w:bottom w:val="single" w:sz="8" w:color="auto"/>
            </w:tcBorders>
            <w:shd w:val="clear" w:color="auto" w:fill="E5E5E5"/>
          </w:tcPr>
          <w:p>
            <w:pPr>
              <w:jc w:val="right"/>
              <w:ind w:right="145"/>
              <w:spacing w:after="0" w:line="167" w:lineRule="exact"/>
              <w:rPr>
                <w:sz w:val="20"/>
                <w:szCs w:val="20"/>
                <w:color w:val="auto"/>
              </w:rPr>
            </w:pPr>
            <w:r>
              <w:rPr>
                <w:rFonts w:ascii="Arial" w:cs="Arial" w:eastAsia="Arial" w:hAnsi="Arial"/>
                <w:sz w:val="15"/>
                <w:szCs w:val="15"/>
                <w:color w:val="auto"/>
              </w:rPr>
              <w:t>2,700</w:t>
            </w:r>
          </w:p>
        </w:tc>
        <w:tc>
          <w:tcPr>
            <w:tcW w:w="1260" w:type="dxa"/>
            <w:vAlign w:val="bottom"/>
            <w:tcBorders>
              <w:bottom w:val="single" w:sz="8" w:color="auto"/>
            </w:tcBorders>
            <w:shd w:val="clear" w:color="auto" w:fill="E5E5E5"/>
          </w:tcPr>
          <w:p>
            <w:pPr>
              <w:jc w:val="right"/>
              <w:spacing w:after="0" w:line="167" w:lineRule="exact"/>
              <w:rPr>
                <w:sz w:val="20"/>
                <w:szCs w:val="20"/>
                <w:color w:val="auto"/>
              </w:rPr>
            </w:pPr>
            <w:r>
              <w:rPr>
                <w:rFonts w:ascii="Arial" w:cs="Arial" w:eastAsia="Arial" w:hAnsi="Arial"/>
                <w:sz w:val="15"/>
                <w:szCs w:val="15"/>
                <w:color w:val="auto"/>
              </w:rPr>
              <w:t>5,251,662</w:t>
            </w:r>
          </w:p>
        </w:tc>
        <w:tc>
          <w:tcPr>
            <w:tcW w:w="0" w:type="dxa"/>
            <w:vAlign w:val="bottom"/>
          </w:tcPr>
          <w:p>
            <w:pPr>
              <w:spacing w:after="0"/>
              <w:rPr>
                <w:sz w:val="1"/>
                <w:szCs w:val="1"/>
                <w:color w:val="auto"/>
              </w:rPr>
            </w:pPr>
          </w:p>
        </w:tc>
      </w:tr>
      <w:tr>
        <w:trPr>
          <w:trHeight w:val="179"/>
        </w:trPr>
        <w:tc>
          <w:tcPr>
            <w:tcW w:w="1560" w:type="dxa"/>
            <w:vAlign w:val="bottom"/>
          </w:tcPr>
          <w:p>
            <w:pPr>
              <w:spacing w:after="0"/>
              <w:rPr>
                <w:sz w:val="20"/>
                <w:szCs w:val="20"/>
                <w:color w:val="auto"/>
              </w:rPr>
            </w:pPr>
            <w:r>
              <w:rPr>
                <w:rFonts w:ascii="Arial" w:cs="Arial" w:eastAsia="Arial" w:hAnsi="Arial"/>
                <w:sz w:val="15"/>
                <w:szCs w:val="15"/>
                <w:color w:val="auto"/>
              </w:rPr>
              <w:t>Liam P. Caffrey</w:t>
            </w:r>
          </w:p>
        </w:tc>
        <w:tc>
          <w:tcPr>
            <w:tcW w:w="232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0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WTM Performance Shares</w:t>
            </w:r>
          </w:p>
        </w:tc>
        <w:tc>
          <w:tcPr>
            <w:tcW w:w="1100" w:type="dxa"/>
            <w:vAlign w:val="bottom"/>
            <w:tcBorders>
              <w:bottom w:val="single" w:sz="8" w:color="auto"/>
            </w:tcBorders>
          </w:tcPr>
          <w:p>
            <w:pPr>
              <w:ind w:left="800"/>
              <w:spacing w:after="0"/>
              <w:rPr>
                <w:sz w:val="20"/>
                <w:szCs w:val="20"/>
                <w:color w:val="auto"/>
              </w:rPr>
            </w:pPr>
            <w:r>
              <w:rPr>
                <w:rFonts w:ascii="Arial" w:cs="Arial" w:eastAsia="Arial" w:hAnsi="Arial"/>
                <w:sz w:val="15"/>
                <w:szCs w:val="15"/>
                <w:color w:val="auto"/>
              </w:rPr>
              <w:t>(a)</w:t>
            </w:r>
          </w:p>
        </w:tc>
        <w:tc>
          <w:tcPr>
            <w:tcW w:w="168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2,300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5,087,255</w:t>
            </w:r>
          </w:p>
        </w:tc>
        <w:tc>
          <w:tcPr>
            <w:tcW w:w="0" w:type="dxa"/>
            <w:vAlign w:val="bottom"/>
          </w:tcPr>
          <w:p>
            <w:pPr>
              <w:spacing w:after="0"/>
              <w:rPr>
                <w:sz w:val="1"/>
                <w:szCs w:val="1"/>
                <w:color w:val="auto"/>
              </w:rPr>
            </w:pPr>
          </w:p>
        </w:tc>
      </w:tr>
      <w:tr>
        <w:trPr>
          <w:trHeight w:val="167"/>
        </w:trPr>
        <w:tc>
          <w:tcPr>
            <w:tcW w:w="15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line="167" w:lineRule="exact"/>
              <w:rPr>
                <w:sz w:val="20"/>
                <w:szCs w:val="20"/>
                <w:color w:val="auto"/>
              </w:rPr>
            </w:pPr>
            <w:r>
              <w:rPr>
                <w:rFonts w:ascii="Arial" w:cs="Arial" w:eastAsia="Arial" w:hAnsi="Arial"/>
                <w:sz w:val="15"/>
                <w:szCs w:val="15"/>
                <w:color w:val="auto"/>
              </w:rPr>
              <w:t>WTM Restricted Shares</w:t>
            </w:r>
          </w:p>
        </w:tc>
        <w:tc>
          <w:tcPr>
            <w:tcW w:w="1100" w:type="dxa"/>
            <w:vAlign w:val="bottom"/>
            <w:tcBorders>
              <w:bottom w:val="single" w:sz="8" w:color="auto"/>
            </w:tcBorders>
          </w:tcPr>
          <w:p>
            <w:pPr>
              <w:ind w:left="800"/>
              <w:spacing w:after="0" w:line="167" w:lineRule="exact"/>
              <w:rPr>
                <w:sz w:val="20"/>
                <w:szCs w:val="20"/>
                <w:color w:val="auto"/>
              </w:rPr>
            </w:pPr>
            <w:r>
              <w:rPr>
                <w:rFonts w:ascii="Arial" w:cs="Arial" w:eastAsia="Arial" w:hAnsi="Arial"/>
                <w:sz w:val="15"/>
                <w:szCs w:val="15"/>
                <w:color w:val="auto"/>
              </w:rPr>
              <w:t>(b)</w:t>
            </w:r>
          </w:p>
        </w:tc>
        <w:tc>
          <w:tcPr>
            <w:tcW w:w="1680" w:type="dxa"/>
            <w:vAlign w:val="bottom"/>
            <w:tcBorders>
              <w:bottom w:val="single" w:sz="8" w:color="auto"/>
            </w:tcBorders>
          </w:tcPr>
          <w:p>
            <w:pPr>
              <w:jc w:val="right"/>
              <w:ind w:right="145"/>
              <w:spacing w:after="0" w:line="167" w:lineRule="exact"/>
              <w:rPr>
                <w:sz w:val="20"/>
                <w:szCs w:val="20"/>
                <w:color w:val="auto"/>
              </w:rPr>
            </w:pPr>
            <w:r>
              <w:rPr>
                <w:rFonts w:ascii="Arial" w:cs="Arial" w:eastAsia="Arial" w:hAnsi="Arial"/>
                <w:sz w:val="15"/>
                <w:szCs w:val="15"/>
                <w:color w:val="auto"/>
              </w:rPr>
              <w:t>1,250</w:t>
            </w:r>
          </w:p>
        </w:tc>
        <w:tc>
          <w:tcPr>
            <w:tcW w:w="12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2,431,325</w:t>
            </w:r>
          </w:p>
        </w:tc>
        <w:tc>
          <w:tcPr>
            <w:tcW w:w="0" w:type="dxa"/>
            <w:vAlign w:val="bottom"/>
          </w:tcPr>
          <w:p>
            <w:pPr>
              <w:spacing w:after="0"/>
              <w:rPr>
                <w:sz w:val="1"/>
                <w:szCs w:val="1"/>
                <w:color w:val="auto"/>
              </w:rPr>
            </w:pPr>
          </w:p>
        </w:tc>
      </w:tr>
      <w:tr>
        <w:trPr>
          <w:trHeight w:val="179"/>
        </w:trPr>
        <w:tc>
          <w:tcPr>
            <w:tcW w:w="15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5"/>
                <w:szCs w:val="15"/>
                <w:color w:val="auto"/>
              </w:rPr>
              <w:t>Giles E. Harrison</w:t>
            </w:r>
          </w:p>
        </w:tc>
        <w:tc>
          <w:tcPr>
            <w:tcW w:w="2320" w:type="dxa"/>
            <w:vAlign w:val="bottom"/>
            <w:tcBorders>
              <w:bottom w:val="single" w:sz="8" w:color="E5E5E5"/>
            </w:tcBorders>
            <w:shd w:val="clear" w:color="auto" w:fill="E5E5E5"/>
          </w:tcPr>
          <w:p>
            <w:pPr>
              <w:jc w:val="right"/>
              <w:ind w:right="65"/>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E5E5E5"/>
            </w:tcBorders>
            <w:gridSpan w:val="2"/>
            <w:shd w:val="clear" w:color="auto" w:fill="E5E5E5"/>
          </w:tcPr>
          <w:p>
            <w:pPr>
              <w:jc w:val="right"/>
              <w:ind w:right="100"/>
              <w:spacing w:after="0"/>
              <w:rPr>
                <w:sz w:val="20"/>
                <w:szCs w:val="20"/>
                <w:color w:val="auto"/>
              </w:rPr>
            </w:pPr>
            <w:r>
              <w:rPr>
                <w:rFonts w:ascii="Arial" w:cs="Arial" w:eastAsia="Arial" w:hAnsi="Arial"/>
                <w:sz w:val="15"/>
                <w:szCs w:val="15"/>
                <w:color w:val="auto"/>
              </w:rPr>
              <w:t>-</w:t>
            </w:r>
          </w:p>
        </w:tc>
        <w:tc>
          <w:tcPr>
            <w:tcW w:w="20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5"/>
                <w:szCs w:val="15"/>
                <w:color w:val="auto"/>
              </w:rPr>
              <w:t>WTM Performance Shares</w:t>
            </w:r>
          </w:p>
        </w:tc>
        <w:tc>
          <w:tcPr>
            <w:tcW w:w="1100" w:type="dxa"/>
            <w:vAlign w:val="bottom"/>
            <w:tcBorders>
              <w:bottom w:val="single" w:sz="8" w:color="auto"/>
            </w:tcBorders>
            <w:shd w:val="clear" w:color="auto" w:fill="E5E5E5"/>
          </w:tcPr>
          <w:p>
            <w:pPr>
              <w:ind w:left="800"/>
              <w:spacing w:after="0"/>
              <w:rPr>
                <w:sz w:val="20"/>
                <w:szCs w:val="20"/>
                <w:color w:val="auto"/>
              </w:rPr>
            </w:pPr>
            <w:r>
              <w:rPr>
                <w:rFonts w:ascii="Arial" w:cs="Arial" w:eastAsia="Arial" w:hAnsi="Arial"/>
                <w:sz w:val="15"/>
                <w:szCs w:val="15"/>
                <w:color w:val="auto"/>
              </w:rPr>
              <w:t>(a)</w:t>
            </w:r>
          </w:p>
        </w:tc>
        <w:tc>
          <w:tcPr>
            <w:tcW w:w="1680" w:type="dxa"/>
            <w:vAlign w:val="bottom"/>
            <w:tcBorders>
              <w:bottom w:val="single" w:sz="8" w:color="auto"/>
            </w:tcBorders>
            <w:shd w:val="clear" w:color="auto" w:fill="E5E5E5"/>
          </w:tcPr>
          <w:p>
            <w:pPr>
              <w:jc w:val="right"/>
              <w:ind w:right="145"/>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7"/>
        </w:trPr>
        <w:tc>
          <w:tcPr>
            <w:tcW w:w="1560" w:type="dxa"/>
            <w:vAlign w:val="bottom"/>
            <w:tcBorders>
              <w:bottom w:val="single" w:sz="8" w:color="auto"/>
            </w:tcBorders>
            <w:shd w:val="clear" w:color="auto" w:fill="E5E5E5"/>
          </w:tcPr>
          <w:p>
            <w:pPr>
              <w:spacing w:after="0"/>
              <w:rPr>
                <w:sz w:val="14"/>
                <w:szCs w:val="14"/>
                <w:color w:val="auto"/>
              </w:rPr>
            </w:pPr>
          </w:p>
        </w:tc>
        <w:tc>
          <w:tcPr>
            <w:tcW w:w="2320" w:type="dxa"/>
            <w:vAlign w:val="bottom"/>
            <w:tcBorders>
              <w:bottom w:val="single" w:sz="8" w:color="auto"/>
            </w:tcBorders>
            <w:shd w:val="clear" w:color="auto" w:fill="E5E5E5"/>
          </w:tcPr>
          <w:p>
            <w:pPr>
              <w:spacing w:after="0"/>
              <w:rPr>
                <w:sz w:val="14"/>
                <w:szCs w:val="14"/>
                <w:color w:val="auto"/>
              </w:rPr>
            </w:pPr>
          </w:p>
        </w:tc>
        <w:tc>
          <w:tcPr>
            <w:tcW w:w="1160" w:type="dxa"/>
            <w:vAlign w:val="bottom"/>
            <w:tcBorders>
              <w:bottom w:val="single" w:sz="8" w:color="auto"/>
            </w:tcBorders>
            <w:shd w:val="clear" w:color="auto" w:fill="E5E5E5"/>
          </w:tcPr>
          <w:p>
            <w:pPr>
              <w:spacing w:after="0"/>
              <w:rPr>
                <w:sz w:val="14"/>
                <w:szCs w:val="14"/>
                <w:color w:val="auto"/>
              </w:rPr>
            </w:pPr>
          </w:p>
        </w:tc>
        <w:tc>
          <w:tcPr>
            <w:tcW w:w="100" w:type="dxa"/>
            <w:vAlign w:val="bottom"/>
            <w:tcBorders>
              <w:bottom w:val="single" w:sz="8" w:color="auto"/>
            </w:tcBorders>
            <w:shd w:val="clear" w:color="auto" w:fill="E5E5E5"/>
          </w:tcPr>
          <w:p>
            <w:pPr>
              <w:spacing w:after="0"/>
              <w:rPr>
                <w:sz w:val="14"/>
                <w:szCs w:val="14"/>
                <w:color w:val="auto"/>
              </w:rPr>
            </w:pPr>
          </w:p>
        </w:tc>
        <w:tc>
          <w:tcPr>
            <w:tcW w:w="2060" w:type="dxa"/>
            <w:vAlign w:val="bottom"/>
            <w:tcBorders>
              <w:bottom w:val="single" w:sz="8" w:color="auto"/>
            </w:tcBorders>
            <w:shd w:val="clear" w:color="auto" w:fill="E5E5E5"/>
          </w:tcPr>
          <w:p>
            <w:pPr>
              <w:spacing w:after="0" w:line="167" w:lineRule="exact"/>
              <w:rPr>
                <w:sz w:val="20"/>
                <w:szCs w:val="20"/>
                <w:color w:val="auto"/>
              </w:rPr>
            </w:pPr>
            <w:r>
              <w:rPr>
                <w:rFonts w:ascii="Arial" w:cs="Arial" w:eastAsia="Arial" w:hAnsi="Arial"/>
                <w:sz w:val="15"/>
                <w:szCs w:val="15"/>
                <w:color w:val="auto"/>
              </w:rPr>
              <w:t>WTM Restricted Shares</w:t>
            </w:r>
          </w:p>
        </w:tc>
        <w:tc>
          <w:tcPr>
            <w:tcW w:w="1100" w:type="dxa"/>
            <w:vAlign w:val="bottom"/>
            <w:tcBorders>
              <w:bottom w:val="single" w:sz="8" w:color="auto"/>
            </w:tcBorders>
            <w:shd w:val="clear" w:color="auto" w:fill="E5E5E5"/>
          </w:tcPr>
          <w:p>
            <w:pPr>
              <w:ind w:left="800"/>
              <w:spacing w:after="0" w:line="167" w:lineRule="exact"/>
              <w:rPr>
                <w:sz w:val="20"/>
                <w:szCs w:val="20"/>
                <w:color w:val="auto"/>
              </w:rPr>
            </w:pPr>
            <w:r>
              <w:rPr>
                <w:rFonts w:ascii="Arial" w:cs="Arial" w:eastAsia="Arial" w:hAnsi="Arial"/>
                <w:sz w:val="15"/>
                <w:szCs w:val="15"/>
                <w:color w:val="auto"/>
              </w:rPr>
              <w:t>(b)</w:t>
            </w:r>
          </w:p>
        </w:tc>
        <w:tc>
          <w:tcPr>
            <w:tcW w:w="1680" w:type="dxa"/>
            <w:vAlign w:val="bottom"/>
            <w:tcBorders>
              <w:bottom w:val="single" w:sz="8" w:color="auto"/>
            </w:tcBorders>
            <w:shd w:val="clear" w:color="auto" w:fill="E5E5E5"/>
          </w:tcPr>
          <w:p>
            <w:pPr>
              <w:jc w:val="right"/>
              <w:ind w:right="145"/>
              <w:spacing w:after="0" w:line="167" w:lineRule="exact"/>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shd w:val="clear" w:color="auto" w:fill="E5E5E5"/>
          </w:tcPr>
          <w:p>
            <w:pPr>
              <w:jc w:val="right"/>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560" w:type="dxa"/>
            <w:vAlign w:val="bottom"/>
          </w:tcPr>
          <w:p>
            <w:pPr>
              <w:spacing w:after="0"/>
              <w:rPr>
                <w:sz w:val="20"/>
                <w:szCs w:val="20"/>
                <w:color w:val="auto"/>
              </w:rPr>
            </w:pPr>
            <w:r>
              <w:rPr>
                <w:rFonts w:ascii="Arial" w:cs="Arial" w:eastAsia="Arial" w:hAnsi="Arial"/>
                <w:sz w:val="15"/>
                <w:szCs w:val="15"/>
                <w:color w:val="auto"/>
              </w:rPr>
              <w:t>Robert L. Seelig</w:t>
            </w:r>
          </w:p>
        </w:tc>
        <w:tc>
          <w:tcPr>
            <w:tcW w:w="232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0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WTM Performance Shares</w:t>
            </w:r>
          </w:p>
        </w:tc>
        <w:tc>
          <w:tcPr>
            <w:tcW w:w="1100" w:type="dxa"/>
            <w:vAlign w:val="bottom"/>
            <w:tcBorders>
              <w:bottom w:val="single" w:sz="8" w:color="auto"/>
            </w:tcBorders>
          </w:tcPr>
          <w:p>
            <w:pPr>
              <w:ind w:left="800"/>
              <w:spacing w:after="0"/>
              <w:rPr>
                <w:sz w:val="20"/>
                <w:szCs w:val="20"/>
                <w:color w:val="auto"/>
              </w:rPr>
            </w:pPr>
            <w:r>
              <w:rPr>
                <w:rFonts w:ascii="Arial" w:cs="Arial" w:eastAsia="Arial" w:hAnsi="Arial"/>
                <w:sz w:val="15"/>
                <w:szCs w:val="15"/>
                <w:color w:val="auto"/>
              </w:rPr>
              <w:t>(a)</w:t>
            </w:r>
          </w:p>
        </w:tc>
        <w:tc>
          <w:tcPr>
            <w:tcW w:w="168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1,840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4,069,804</w:t>
            </w:r>
          </w:p>
        </w:tc>
        <w:tc>
          <w:tcPr>
            <w:tcW w:w="0" w:type="dxa"/>
            <w:vAlign w:val="bottom"/>
          </w:tcPr>
          <w:p>
            <w:pPr>
              <w:spacing w:after="0"/>
              <w:rPr>
                <w:sz w:val="1"/>
                <w:szCs w:val="1"/>
                <w:color w:val="auto"/>
              </w:rPr>
            </w:pPr>
          </w:p>
        </w:tc>
      </w:tr>
      <w:tr>
        <w:trPr>
          <w:trHeight w:val="167"/>
        </w:trPr>
        <w:tc>
          <w:tcPr>
            <w:tcW w:w="15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line="167" w:lineRule="exact"/>
              <w:rPr>
                <w:sz w:val="20"/>
                <w:szCs w:val="20"/>
                <w:color w:val="auto"/>
              </w:rPr>
            </w:pPr>
            <w:r>
              <w:rPr>
                <w:rFonts w:ascii="Arial" w:cs="Arial" w:eastAsia="Arial" w:hAnsi="Arial"/>
                <w:sz w:val="15"/>
                <w:szCs w:val="15"/>
                <w:color w:val="auto"/>
              </w:rPr>
              <w:t>WTM Restricted Shares</w:t>
            </w:r>
          </w:p>
        </w:tc>
        <w:tc>
          <w:tcPr>
            <w:tcW w:w="1100" w:type="dxa"/>
            <w:vAlign w:val="bottom"/>
            <w:tcBorders>
              <w:bottom w:val="single" w:sz="8" w:color="auto"/>
            </w:tcBorders>
          </w:tcPr>
          <w:p>
            <w:pPr>
              <w:ind w:left="800"/>
              <w:spacing w:after="0" w:line="167" w:lineRule="exact"/>
              <w:rPr>
                <w:sz w:val="20"/>
                <w:szCs w:val="20"/>
                <w:color w:val="auto"/>
              </w:rPr>
            </w:pPr>
            <w:r>
              <w:rPr>
                <w:rFonts w:ascii="Arial" w:cs="Arial" w:eastAsia="Arial" w:hAnsi="Arial"/>
                <w:sz w:val="15"/>
                <w:szCs w:val="15"/>
                <w:color w:val="auto"/>
              </w:rPr>
              <w:t>(b)</w:t>
            </w:r>
          </w:p>
        </w:tc>
        <w:tc>
          <w:tcPr>
            <w:tcW w:w="1680" w:type="dxa"/>
            <w:vAlign w:val="bottom"/>
            <w:tcBorders>
              <w:bottom w:val="single" w:sz="8" w:color="auto"/>
            </w:tcBorders>
          </w:tcPr>
          <w:p>
            <w:pPr>
              <w:jc w:val="right"/>
              <w:ind w:right="145"/>
              <w:spacing w:after="0" w:line="167" w:lineRule="exact"/>
              <w:rPr>
                <w:sz w:val="20"/>
                <w:szCs w:val="20"/>
                <w:color w:val="auto"/>
              </w:rPr>
            </w:pPr>
            <w:r>
              <w:rPr>
                <w:rFonts w:ascii="Arial" w:cs="Arial" w:eastAsia="Arial" w:hAnsi="Arial"/>
                <w:sz w:val="15"/>
                <w:szCs w:val="15"/>
                <w:color w:val="auto"/>
              </w:rPr>
              <w:t>1,250</w:t>
            </w:r>
          </w:p>
        </w:tc>
        <w:tc>
          <w:tcPr>
            <w:tcW w:w="12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2,431,325</w:t>
            </w:r>
          </w:p>
        </w:tc>
        <w:tc>
          <w:tcPr>
            <w:tcW w:w="0" w:type="dxa"/>
            <w:vAlign w:val="bottom"/>
          </w:tcPr>
          <w:p>
            <w:pPr>
              <w:spacing w:after="0"/>
              <w:rPr>
                <w:sz w:val="1"/>
                <w:szCs w:val="1"/>
                <w:color w:val="auto"/>
              </w:rPr>
            </w:pPr>
          </w:p>
        </w:tc>
      </w:tr>
      <w:tr>
        <w:trPr>
          <w:trHeight w:val="179"/>
        </w:trPr>
        <w:tc>
          <w:tcPr>
            <w:tcW w:w="15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5"/>
                <w:szCs w:val="15"/>
                <w:color w:val="auto"/>
              </w:rPr>
              <w:t>Michaela J. Hildreth</w:t>
            </w:r>
          </w:p>
        </w:tc>
        <w:tc>
          <w:tcPr>
            <w:tcW w:w="2320" w:type="dxa"/>
            <w:vAlign w:val="bottom"/>
            <w:tcBorders>
              <w:bottom w:val="single" w:sz="8" w:color="E5E5E5"/>
            </w:tcBorders>
            <w:shd w:val="clear" w:color="auto" w:fill="E5E5E5"/>
          </w:tcPr>
          <w:p>
            <w:pPr>
              <w:jc w:val="right"/>
              <w:ind w:right="65"/>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E5E5E5"/>
            </w:tcBorders>
            <w:gridSpan w:val="2"/>
            <w:shd w:val="clear" w:color="auto" w:fill="E5E5E5"/>
          </w:tcPr>
          <w:p>
            <w:pPr>
              <w:jc w:val="right"/>
              <w:ind w:right="100"/>
              <w:spacing w:after="0"/>
              <w:rPr>
                <w:sz w:val="20"/>
                <w:szCs w:val="20"/>
                <w:color w:val="auto"/>
              </w:rPr>
            </w:pPr>
            <w:r>
              <w:rPr>
                <w:rFonts w:ascii="Arial" w:cs="Arial" w:eastAsia="Arial" w:hAnsi="Arial"/>
                <w:sz w:val="15"/>
                <w:szCs w:val="15"/>
                <w:color w:val="auto"/>
              </w:rPr>
              <w:t>-</w:t>
            </w:r>
          </w:p>
        </w:tc>
        <w:tc>
          <w:tcPr>
            <w:tcW w:w="20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5"/>
                <w:szCs w:val="15"/>
                <w:color w:val="auto"/>
              </w:rPr>
              <w:t>WTM Performance Shares</w:t>
            </w:r>
          </w:p>
        </w:tc>
        <w:tc>
          <w:tcPr>
            <w:tcW w:w="1100" w:type="dxa"/>
            <w:vAlign w:val="bottom"/>
            <w:tcBorders>
              <w:bottom w:val="single" w:sz="8" w:color="auto"/>
            </w:tcBorders>
            <w:shd w:val="clear" w:color="auto" w:fill="E5E5E5"/>
          </w:tcPr>
          <w:p>
            <w:pPr>
              <w:ind w:left="800"/>
              <w:spacing w:after="0"/>
              <w:rPr>
                <w:sz w:val="20"/>
                <w:szCs w:val="20"/>
                <w:color w:val="auto"/>
              </w:rPr>
            </w:pPr>
            <w:r>
              <w:rPr>
                <w:rFonts w:ascii="Arial" w:cs="Arial" w:eastAsia="Arial" w:hAnsi="Arial"/>
                <w:sz w:val="15"/>
                <w:szCs w:val="15"/>
                <w:color w:val="auto"/>
              </w:rPr>
              <w:t>(a)</w:t>
            </w:r>
          </w:p>
        </w:tc>
        <w:tc>
          <w:tcPr>
            <w:tcW w:w="1680" w:type="dxa"/>
            <w:vAlign w:val="bottom"/>
            <w:tcBorders>
              <w:bottom w:val="single" w:sz="8" w:color="auto"/>
            </w:tcBorders>
            <w:shd w:val="clear" w:color="auto" w:fill="E5E5E5"/>
          </w:tcPr>
          <w:p>
            <w:pPr>
              <w:jc w:val="right"/>
              <w:ind w:right="145"/>
              <w:spacing w:after="0"/>
              <w:rPr>
                <w:sz w:val="20"/>
                <w:szCs w:val="20"/>
                <w:color w:val="auto"/>
              </w:rPr>
            </w:pPr>
            <w:r>
              <w:rPr>
                <w:rFonts w:ascii="Arial" w:cs="Arial" w:eastAsia="Arial" w:hAnsi="Arial"/>
                <w:sz w:val="15"/>
                <w:szCs w:val="15"/>
                <w:color w:val="auto"/>
              </w:rPr>
              <w:t>1,104</w:t>
            </w:r>
          </w:p>
        </w:tc>
        <w:tc>
          <w:tcPr>
            <w:tcW w:w="1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5"/>
                <w:szCs w:val="15"/>
                <w:color w:val="auto"/>
              </w:rPr>
              <w:t>2,441,882</w:t>
            </w:r>
          </w:p>
        </w:tc>
        <w:tc>
          <w:tcPr>
            <w:tcW w:w="0" w:type="dxa"/>
            <w:vAlign w:val="bottom"/>
          </w:tcPr>
          <w:p>
            <w:pPr>
              <w:spacing w:after="0"/>
              <w:rPr>
                <w:sz w:val="1"/>
                <w:szCs w:val="1"/>
                <w:color w:val="auto"/>
              </w:rPr>
            </w:pPr>
          </w:p>
        </w:tc>
      </w:tr>
      <w:tr>
        <w:trPr>
          <w:trHeight w:val="167"/>
        </w:trPr>
        <w:tc>
          <w:tcPr>
            <w:tcW w:w="1560" w:type="dxa"/>
            <w:vAlign w:val="bottom"/>
            <w:tcBorders>
              <w:bottom w:val="single" w:sz="8" w:color="auto"/>
            </w:tcBorders>
            <w:shd w:val="clear" w:color="auto" w:fill="E5E5E5"/>
          </w:tcPr>
          <w:p>
            <w:pPr>
              <w:spacing w:after="0"/>
              <w:rPr>
                <w:sz w:val="14"/>
                <w:szCs w:val="14"/>
                <w:color w:val="auto"/>
              </w:rPr>
            </w:pPr>
          </w:p>
        </w:tc>
        <w:tc>
          <w:tcPr>
            <w:tcW w:w="2320" w:type="dxa"/>
            <w:vAlign w:val="bottom"/>
            <w:tcBorders>
              <w:bottom w:val="single" w:sz="8" w:color="auto"/>
            </w:tcBorders>
            <w:shd w:val="clear" w:color="auto" w:fill="E5E5E5"/>
          </w:tcPr>
          <w:p>
            <w:pPr>
              <w:spacing w:after="0"/>
              <w:rPr>
                <w:sz w:val="14"/>
                <w:szCs w:val="14"/>
                <w:color w:val="auto"/>
              </w:rPr>
            </w:pPr>
          </w:p>
        </w:tc>
        <w:tc>
          <w:tcPr>
            <w:tcW w:w="1160" w:type="dxa"/>
            <w:vAlign w:val="bottom"/>
            <w:tcBorders>
              <w:bottom w:val="single" w:sz="8" w:color="auto"/>
            </w:tcBorders>
            <w:shd w:val="clear" w:color="auto" w:fill="E5E5E5"/>
          </w:tcPr>
          <w:p>
            <w:pPr>
              <w:spacing w:after="0"/>
              <w:rPr>
                <w:sz w:val="14"/>
                <w:szCs w:val="14"/>
                <w:color w:val="auto"/>
              </w:rPr>
            </w:pPr>
          </w:p>
        </w:tc>
        <w:tc>
          <w:tcPr>
            <w:tcW w:w="100" w:type="dxa"/>
            <w:vAlign w:val="bottom"/>
            <w:tcBorders>
              <w:bottom w:val="single" w:sz="8" w:color="auto"/>
            </w:tcBorders>
            <w:shd w:val="clear" w:color="auto" w:fill="E5E5E5"/>
          </w:tcPr>
          <w:p>
            <w:pPr>
              <w:spacing w:after="0"/>
              <w:rPr>
                <w:sz w:val="14"/>
                <w:szCs w:val="14"/>
                <w:color w:val="auto"/>
              </w:rPr>
            </w:pPr>
          </w:p>
        </w:tc>
        <w:tc>
          <w:tcPr>
            <w:tcW w:w="2060" w:type="dxa"/>
            <w:vAlign w:val="bottom"/>
            <w:tcBorders>
              <w:bottom w:val="single" w:sz="8" w:color="auto"/>
            </w:tcBorders>
            <w:shd w:val="clear" w:color="auto" w:fill="E5E5E5"/>
          </w:tcPr>
          <w:p>
            <w:pPr>
              <w:spacing w:after="0" w:line="167" w:lineRule="exact"/>
              <w:rPr>
                <w:sz w:val="20"/>
                <w:szCs w:val="20"/>
                <w:color w:val="auto"/>
              </w:rPr>
            </w:pPr>
            <w:r>
              <w:rPr>
                <w:rFonts w:ascii="Arial" w:cs="Arial" w:eastAsia="Arial" w:hAnsi="Arial"/>
                <w:sz w:val="15"/>
                <w:szCs w:val="15"/>
                <w:color w:val="auto"/>
              </w:rPr>
              <w:t>WTM Restricted Shares</w:t>
            </w:r>
          </w:p>
        </w:tc>
        <w:tc>
          <w:tcPr>
            <w:tcW w:w="1100" w:type="dxa"/>
            <w:vAlign w:val="bottom"/>
            <w:tcBorders>
              <w:bottom w:val="single" w:sz="8" w:color="auto"/>
            </w:tcBorders>
            <w:shd w:val="clear" w:color="auto" w:fill="E5E5E5"/>
          </w:tcPr>
          <w:p>
            <w:pPr>
              <w:ind w:left="800"/>
              <w:spacing w:after="0" w:line="167" w:lineRule="exact"/>
              <w:rPr>
                <w:sz w:val="20"/>
                <w:szCs w:val="20"/>
                <w:color w:val="auto"/>
              </w:rPr>
            </w:pPr>
            <w:r>
              <w:rPr>
                <w:rFonts w:ascii="Arial" w:cs="Arial" w:eastAsia="Arial" w:hAnsi="Arial"/>
                <w:sz w:val="15"/>
                <w:szCs w:val="15"/>
                <w:color w:val="auto"/>
              </w:rPr>
              <w:t>(b)</w:t>
            </w:r>
          </w:p>
        </w:tc>
        <w:tc>
          <w:tcPr>
            <w:tcW w:w="1680" w:type="dxa"/>
            <w:vAlign w:val="bottom"/>
            <w:tcBorders>
              <w:bottom w:val="single" w:sz="8" w:color="auto"/>
            </w:tcBorders>
            <w:shd w:val="clear" w:color="auto" w:fill="E5E5E5"/>
          </w:tcPr>
          <w:p>
            <w:pPr>
              <w:jc w:val="right"/>
              <w:ind w:right="145"/>
              <w:spacing w:after="0" w:line="167" w:lineRule="exact"/>
              <w:rPr>
                <w:sz w:val="20"/>
                <w:szCs w:val="20"/>
                <w:color w:val="auto"/>
              </w:rPr>
            </w:pPr>
            <w:r>
              <w:rPr>
                <w:rFonts w:ascii="Arial" w:cs="Arial" w:eastAsia="Arial" w:hAnsi="Arial"/>
                <w:sz w:val="15"/>
                <w:szCs w:val="15"/>
                <w:color w:val="auto"/>
              </w:rPr>
              <w:t>750</w:t>
            </w:r>
          </w:p>
        </w:tc>
        <w:tc>
          <w:tcPr>
            <w:tcW w:w="1260" w:type="dxa"/>
            <w:vAlign w:val="bottom"/>
            <w:tcBorders>
              <w:bottom w:val="single" w:sz="8" w:color="auto"/>
            </w:tcBorders>
            <w:shd w:val="clear" w:color="auto" w:fill="E5E5E5"/>
          </w:tcPr>
          <w:p>
            <w:pPr>
              <w:jc w:val="right"/>
              <w:spacing w:after="0" w:line="167" w:lineRule="exact"/>
              <w:rPr>
                <w:sz w:val="20"/>
                <w:szCs w:val="20"/>
                <w:color w:val="auto"/>
              </w:rPr>
            </w:pPr>
            <w:r>
              <w:rPr>
                <w:rFonts w:ascii="Arial" w:cs="Arial" w:eastAsia="Arial" w:hAnsi="Arial"/>
                <w:sz w:val="15"/>
                <w:szCs w:val="15"/>
                <w:color w:val="auto"/>
              </w:rPr>
              <w:t>1,458,795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00" w:right="540" w:hanging="300"/>
        <w:spacing w:after="0" w:line="253" w:lineRule="auto"/>
        <w:tabs>
          <w:tab w:leader="none" w:pos="3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Represents 2,000, 1,250, 0, 1,000 and 600 target WTM performance shares awarded for the 2023-2025 performance cycle to Messrs. Rountree, Caffrey, Harrison and Seelig and Ms. Hildreth, respectively, which became fully vested on December 31, 2025 at 184% of target. Value realized on vesting is based on the average of the closing price of common shares for the 5 days preceding the CNG Committee meeting in February 2026, as determined by the CNG Committee, plus dividends declared since the shares were granted in 2023.</w:t>
      </w:r>
    </w:p>
    <w:p>
      <w:pPr>
        <w:spacing w:after="0" w:line="168" w:lineRule="exact"/>
        <w:rPr>
          <w:rFonts w:ascii="Arial" w:cs="Arial" w:eastAsia="Arial" w:hAnsi="Arial"/>
          <w:sz w:val="15"/>
          <w:szCs w:val="15"/>
          <w:color w:val="auto"/>
        </w:rPr>
      </w:pPr>
    </w:p>
    <w:p>
      <w:pPr>
        <w:ind w:left="300" w:hanging="300"/>
        <w:spacing w:after="0"/>
        <w:tabs>
          <w:tab w:leader="none" w:pos="3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amounts represent WTM restricted shares that vested on January 1, 2025.</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790"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Pay Versus Performance</w:t>
      </w:r>
    </w:p>
    <w:p>
      <w:pPr>
        <w:spacing w:after="0" w:line="191" w:lineRule="exact"/>
        <w:rPr>
          <w:sz w:val="20"/>
          <w:szCs w:val="20"/>
          <w:color w:val="auto"/>
        </w:rPr>
      </w:pPr>
    </w:p>
    <w:p>
      <w:pPr>
        <w:ind w:right="200" w:firstLine="299"/>
        <w:spacing w:after="0" w:line="270" w:lineRule="auto"/>
        <w:rPr>
          <w:sz w:val="20"/>
          <w:szCs w:val="20"/>
          <w:color w:val="auto"/>
        </w:rPr>
      </w:pPr>
      <w:r>
        <w:rPr>
          <w:rFonts w:ascii="Arial" w:cs="Arial" w:eastAsia="Arial" w:hAnsi="Arial"/>
          <w:sz w:val="18"/>
          <w:szCs w:val="18"/>
          <w:color w:val="auto"/>
        </w:rPr>
        <w:t>The following table presents “Compensation Actually Paid” to the Principal Executive Officer (“PEO”) and the “Average Compensation Actually Paid” to the Non-PEO NEOs in 2025, 2024, 2023, 2022 and 2021, as calculated pursuant to SEC rules.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center"/>
              <w:ind w:right="34"/>
              <w:spacing w:after="0"/>
              <w:rPr>
                <w:sz w:val="20"/>
                <w:szCs w:val="20"/>
                <w:color w:val="auto"/>
              </w:rPr>
            </w:pPr>
            <w:r>
              <w:rPr>
                <w:rFonts w:ascii="Arial" w:cs="Arial" w:eastAsia="Arial" w:hAnsi="Arial"/>
                <w:sz w:val="13"/>
                <w:szCs w:val="13"/>
                <w:color w:val="auto"/>
              </w:rPr>
              <w:t>Average</w:t>
            </w:r>
          </w:p>
        </w:tc>
        <w:tc>
          <w:tcPr>
            <w:tcW w:w="128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rPr>
              <w:t>Value of Initial Fixed $100</w:t>
            </w:r>
          </w:p>
        </w:tc>
        <w:tc>
          <w:tcPr>
            <w:tcW w:w="1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20" w:type="dxa"/>
            <w:vAlign w:val="bottom"/>
          </w:tcPr>
          <w:p>
            <w:pPr>
              <w:spacing w:after="0"/>
              <w:rPr>
                <w:sz w:val="13"/>
                <w:szCs w:val="13"/>
                <w:color w:val="auto"/>
              </w:rPr>
            </w:pPr>
          </w:p>
        </w:tc>
        <w:tc>
          <w:tcPr>
            <w:tcW w:w="1420" w:type="dxa"/>
            <w:vAlign w:val="bottom"/>
          </w:tcPr>
          <w:p>
            <w:pPr>
              <w:jc w:val="center"/>
              <w:ind w:right="34"/>
              <w:spacing w:after="0"/>
              <w:rPr>
                <w:sz w:val="20"/>
                <w:szCs w:val="20"/>
                <w:color w:val="auto"/>
              </w:rPr>
            </w:pPr>
            <w:r>
              <w:rPr>
                <w:rFonts w:ascii="Arial" w:cs="Arial" w:eastAsia="Arial" w:hAnsi="Arial"/>
                <w:sz w:val="13"/>
                <w:szCs w:val="13"/>
                <w:color w:val="auto"/>
              </w:rPr>
              <w:t>Summary</w:t>
            </w:r>
          </w:p>
        </w:tc>
        <w:tc>
          <w:tcPr>
            <w:tcW w:w="1320" w:type="dxa"/>
            <w:vAlign w:val="bottom"/>
          </w:tcPr>
          <w:p>
            <w:pPr>
              <w:spacing w:after="0"/>
              <w:rPr>
                <w:sz w:val="13"/>
                <w:szCs w:val="13"/>
                <w:color w:val="auto"/>
              </w:rPr>
            </w:pPr>
          </w:p>
        </w:tc>
        <w:tc>
          <w:tcPr>
            <w:tcW w:w="1360" w:type="dxa"/>
            <w:vAlign w:val="bottom"/>
          </w:tcPr>
          <w:p>
            <w:pPr>
              <w:jc w:val="center"/>
              <w:ind w:right="34"/>
              <w:spacing w:after="0"/>
              <w:rPr>
                <w:sz w:val="20"/>
                <w:szCs w:val="20"/>
                <w:color w:val="auto"/>
              </w:rPr>
            </w:pPr>
            <w:r>
              <w:rPr>
                <w:rFonts w:ascii="Arial" w:cs="Arial" w:eastAsia="Arial" w:hAnsi="Arial"/>
                <w:sz w:val="13"/>
                <w:szCs w:val="13"/>
                <w:color w:val="auto"/>
              </w:rPr>
              <w:t>Summary</w:t>
            </w:r>
          </w:p>
        </w:tc>
        <w:tc>
          <w:tcPr>
            <w:tcW w:w="1280" w:type="dxa"/>
            <w:vAlign w:val="bottom"/>
          </w:tcPr>
          <w:p>
            <w:pPr>
              <w:jc w:val="center"/>
              <w:spacing w:after="0"/>
              <w:rPr>
                <w:sz w:val="20"/>
                <w:szCs w:val="20"/>
                <w:color w:val="auto"/>
              </w:rPr>
            </w:pPr>
            <w:r>
              <w:rPr>
                <w:rFonts w:ascii="Arial" w:cs="Arial" w:eastAsia="Arial" w:hAnsi="Arial"/>
                <w:sz w:val="13"/>
                <w:szCs w:val="13"/>
                <w:color w:val="auto"/>
                <w:w w:val="99"/>
              </w:rPr>
              <w:t>Average</w:t>
            </w:r>
          </w:p>
        </w:tc>
        <w:tc>
          <w:tcPr>
            <w:tcW w:w="2480" w:type="dxa"/>
            <w:vAlign w:val="bottom"/>
            <w:tcBorders>
              <w:bottom w:val="single" w:sz="8" w:color="auto"/>
            </w:tcBorders>
            <w:gridSpan w:val="2"/>
          </w:tcPr>
          <w:p>
            <w:pPr>
              <w:jc w:val="center"/>
              <w:spacing w:after="0" w:line="137" w:lineRule="exact"/>
              <w:rPr>
                <w:sz w:val="20"/>
                <w:szCs w:val="20"/>
                <w:color w:val="auto"/>
              </w:rPr>
            </w:pPr>
            <w:r>
              <w:rPr>
                <w:rFonts w:ascii="Arial" w:cs="Arial" w:eastAsia="Arial" w:hAnsi="Arial"/>
                <w:sz w:val="13"/>
                <w:szCs w:val="13"/>
                <w:color w:val="auto"/>
              </w:rPr>
              <w:t>Investment Based On:</w:t>
            </w:r>
          </w:p>
        </w:tc>
        <w:tc>
          <w:tcPr>
            <w:tcW w:w="116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8"/>
              </w:rPr>
              <w:t>Annual</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1420" w:type="dxa"/>
            <w:vAlign w:val="bottom"/>
          </w:tcPr>
          <w:p>
            <w:pPr>
              <w:jc w:val="center"/>
              <w:ind w:right="54"/>
              <w:spacing w:after="0" w:line="142" w:lineRule="exact"/>
              <w:rPr>
                <w:sz w:val="20"/>
                <w:szCs w:val="20"/>
                <w:color w:val="auto"/>
              </w:rPr>
            </w:pPr>
            <w:r>
              <w:rPr>
                <w:rFonts w:ascii="Arial" w:cs="Arial" w:eastAsia="Arial" w:hAnsi="Arial"/>
                <w:sz w:val="13"/>
                <w:szCs w:val="13"/>
                <w:color w:val="auto"/>
              </w:rPr>
              <w:t>Compensation</w:t>
            </w:r>
          </w:p>
        </w:tc>
        <w:tc>
          <w:tcPr>
            <w:tcW w:w="1320" w:type="dxa"/>
            <w:vAlign w:val="bottom"/>
          </w:tcPr>
          <w:p>
            <w:pPr>
              <w:jc w:val="center"/>
              <w:ind w:right="74"/>
              <w:spacing w:after="0" w:line="142" w:lineRule="exact"/>
              <w:rPr>
                <w:sz w:val="20"/>
                <w:szCs w:val="20"/>
                <w:color w:val="auto"/>
              </w:rPr>
            </w:pPr>
            <w:r>
              <w:rPr>
                <w:rFonts w:ascii="Arial" w:cs="Arial" w:eastAsia="Arial" w:hAnsi="Arial"/>
                <w:sz w:val="13"/>
                <w:szCs w:val="13"/>
                <w:color w:val="auto"/>
              </w:rPr>
              <w:t>Compensation</w:t>
            </w:r>
          </w:p>
        </w:tc>
        <w:tc>
          <w:tcPr>
            <w:tcW w:w="1360" w:type="dxa"/>
            <w:vAlign w:val="bottom"/>
          </w:tcPr>
          <w:p>
            <w:pPr>
              <w:jc w:val="center"/>
              <w:ind w:right="34"/>
              <w:spacing w:after="0" w:line="142" w:lineRule="exact"/>
              <w:rPr>
                <w:sz w:val="20"/>
                <w:szCs w:val="20"/>
                <w:color w:val="auto"/>
              </w:rPr>
            </w:pPr>
            <w:r>
              <w:rPr>
                <w:rFonts w:ascii="Arial" w:cs="Arial" w:eastAsia="Arial" w:hAnsi="Arial"/>
                <w:sz w:val="13"/>
                <w:szCs w:val="13"/>
                <w:color w:val="auto"/>
              </w:rPr>
              <w:t>Compensation</w:t>
            </w:r>
          </w:p>
        </w:tc>
        <w:tc>
          <w:tcPr>
            <w:tcW w:w="1280" w:type="dxa"/>
            <w:vAlign w:val="bottom"/>
          </w:tcPr>
          <w:p>
            <w:pPr>
              <w:jc w:val="center"/>
              <w:spacing w:after="0" w:line="142" w:lineRule="exact"/>
              <w:rPr>
                <w:sz w:val="20"/>
                <w:szCs w:val="20"/>
                <w:color w:val="auto"/>
              </w:rPr>
            </w:pPr>
            <w:r>
              <w:rPr>
                <w:rFonts w:ascii="Arial" w:cs="Arial" w:eastAsia="Arial" w:hAnsi="Arial"/>
                <w:sz w:val="13"/>
                <w:szCs w:val="13"/>
                <w:color w:val="auto"/>
              </w:rPr>
              <w:t>Compensation</w:t>
            </w:r>
          </w:p>
        </w:tc>
        <w:tc>
          <w:tcPr>
            <w:tcW w:w="1120" w:type="dxa"/>
            <w:vAlign w:val="bottom"/>
          </w:tcPr>
          <w:p>
            <w:pPr>
              <w:jc w:val="center"/>
              <w:spacing w:after="0" w:line="142" w:lineRule="exact"/>
              <w:rPr>
                <w:sz w:val="20"/>
                <w:szCs w:val="20"/>
                <w:color w:val="auto"/>
              </w:rPr>
            </w:pPr>
            <w:r>
              <w:rPr>
                <w:rFonts w:ascii="Arial" w:cs="Arial" w:eastAsia="Arial" w:hAnsi="Arial"/>
                <w:sz w:val="13"/>
                <w:szCs w:val="13"/>
                <w:color w:val="auto"/>
                <w:w w:val="96"/>
              </w:rPr>
              <w:t>Total</w:t>
            </w:r>
          </w:p>
        </w:tc>
        <w:tc>
          <w:tcPr>
            <w:tcW w:w="1360" w:type="dxa"/>
            <w:vAlign w:val="bottom"/>
          </w:tcPr>
          <w:p>
            <w:pPr>
              <w:jc w:val="center"/>
              <w:spacing w:after="0" w:line="142" w:lineRule="exact"/>
              <w:rPr>
                <w:sz w:val="20"/>
                <w:szCs w:val="20"/>
                <w:color w:val="auto"/>
              </w:rPr>
            </w:pPr>
            <w:r>
              <w:rPr>
                <w:rFonts w:ascii="Arial" w:cs="Arial" w:eastAsia="Arial" w:hAnsi="Arial"/>
                <w:sz w:val="13"/>
                <w:szCs w:val="13"/>
                <w:color w:val="auto"/>
              </w:rPr>
              <w:t>Peer Group Total</w:t>
            </w:r>
          </w:p>
        </w:tc>
        <w:tc>
          <w:tcPr>
            <w:tcW w:w="1160" w:type="dxa"/>
            <w:vAlign w:val="bottom"/>
          </w:tcPr>
          <w:p>
            <w:pPr>
              <w:spacing w:after="0"/>
              <w:rPr>
                <w:sz w:val="12"/>
                <w:szCs w:val="12"/>
                <w:color w:val="auto"/>
              </w:rPr>
            </w:pPr>
          </w:p>
        </w:tc>
        <w:tc>
          <w:tcPr>
            <w:tcW w:w="1400" w:type="dxa"/>
            <w:vAlign w:val="bottom"/>
          </w:tcPr>
          <w:p>
            <w:pPr>
              <w:jc w:val="center"/>
              <w:spacing w:after="0" w:line="142" w:lineRule="exact"/>
              <w:rPr>
                <w:sz w:val="20"/>
                <w:szCs w:val="20"/>
                <w:color w:val="auto"/>
              </w:rPr>
            </w:pPr>
            <w:r>
              <w:rPr>
                <w:rFonts w:ascii="Arial" w:cs="Arial" w:eastAsia="Arial" w:hAnsi="Arial"/>
                <w:sz w:val="13"/>
                <w:szCs w:val="13"/>
                <w:color w:val="auto"/>
              </w:rPr>
              <w:t>Growth in</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1420" w:type="dxa"/>
            <w:vAlign w:val="bottom"/>
          </w:tcPr>
          <w:p>
            <w:pPr>
              <w:jc w:val="center"/>
              <w:ind w:right="54"/>
              <w:spacing w:after="0"/>
              <w:rPr>
                <w:sz w:val="20"/>
                <w:szCs w:val="20"/>
                <w:color w:val="auto"/>
              </w:rPr>
            </w:pPr>
            <w:r>
              <w:rPr>
                <w:rFonts w:ascii="Arial" w:cs="Arial" w:eastAsia="Arial" w:hAnsi="Arial"/>
                <w:sz w:val="13"/>
                <w:szCs w:val="13"/>
                <w:color w:val="auto"/>
                <w:w w:val="97"/>
              </w:rPr>
              <w:t>Table Total for</w:t>
            </w:r>
          </w:p>
        </w:tc>
        <w:tc>
          <w:tcPr>
            <w:tcW w:w="1320" w:type="dxa"/>
            <w:vAlign w:val="bottom"/>
          </w:tcPr>
          <w:p>
            <w:pPr>
              <w:jc w:val="center"/>
              <w:ind w:right="74"/>
              <w:spacing w:after="0"/>
              <w:rPr>
                <w:sz w:val="20"/>
                <w:szCs w:val="20"/>
                <w:color w:val="auto"/>
              </w:rPr>
            </w:pPr>
            <w:r>
              <w:rPr>
                <w:rFonts w:ascii="Arial" w:cs="Arial" w:eastAsia="Arial" w:hAnsi="Arial"/>
                <w:sz w:val="13"/>
                <w:szCs w:val="13"/>
                <w:color w:val="auto"/>
              </w:rPr>
              <w:t>Actually Paid</w:t>
            </w:r>
          </w:p>
        </w:tc>
        <w:tc>
          <w:tcPr>
            <w:tcW w:w="1360" w:type="dxa"/>
            <w:vAlign w:val="bottom"/>
          </w:tcPr>
          <w:p>
            <w:pPr>
              <w:jc w:val="center"/>
              <w:ind w:right="34"/>
              <w:spacing w:after="0"/>
              <w:rPr>
                <w:sz w:val="20"/>
                <w:szCs w:val="20"/>
                <w:color w:val="auto"/>
              </w:rPr>
            </w:pPr>
            <w:r>
              <w:rPr>
                <w:rFonts w:ascii="Arial" w:cs="Arial" w:eastAsia="Arial" w:hAnsi="Arial"/>
                <w:sz w:val="13"/>
                <w:szCs w:val="13"/>
                <w:color w:val="auto"/>
                <w:w w:val="97"/>
              </w:rPr>
              <w:t>Table Total for</w:t>
            </w:r>
          </w:p>
        </w:tc>
        <w:tc>
          <w:tcPr>
            <w:tcW w:w="1280" w:type="dxa"/>
            <w:vAlign w:val="bottom"/>
          </w:tcPr>
          <w:p>
            <w:pPr>
              <w:jc w:val="center"/>
              <w:spacing w:after="0"/>
              <w:rPr>
                <w:sz w:val="20"/>
                <w:szCs w:val="20"/>
                <w:color w:val="auto"/>
              </w:rPr>
            </w:pPr>
            <w:r>
              <w:rPr>
                <w:rFonts w:ascii="Arial" w:cs="Arial" w:eastAsia="Arial" w:hAnsi="Arial"/>
                <w:sz w:val="13"/>
                <w:szCs w:val="13"/>
                <w:color w:val="auto"/>
              </w:rPr>
              <w:t>Actually Paid to</w:t>
            </w:r>
          </w:p>
        </w:tc>
        <w:tc>
          <w:tcPr>
            <w:tcW w:w="1120" w:type="dxa"/>
            <w:vAlign w:val="bottom"/>
          </w:tcPr>
          <w:p>
            <w:pPr>
              <w:jc w:val="center"/>
              <w:spacing w:after="0"/>
              <w:rPr>
                <w:sz w:val="20"/>
                <w:szCs w:val="20"/>
                <w:color w:val="auto"/>
              </w:rPr>
            </w:pPr>
            <w:r>
              <w:rPr>
                <w:rFonts w:ascii="Arial" w:cs="Arial" w:eastAsia="Arial" w:hAnsi="Arial"/>
                <w:sz w:val="13"/>
                <w:szCs w:val="13"/>
                <w:color w:val="auto"/>
              </w:rPr>
              <w:t>Shareholder</w:t>
            </w:r>
          </w:p>
        </w:tc>
        <w:tc>
          <w:tcPr>
            <w:tcW w:w="1360" w:type="dxa"/>
            <w:vAlign w:val="bottom"/>
          </w:tcPr>
          <w:p>
            <w:pPr>
              <w:jc w:val="center"/>
              <w:spacing w:after="0"/>
              <w:rPr>
                <w:sz w:val="20"/>
                <w:szCs w:val="20"/>
                <w:color w:val="auto"/>
              </w:rPr>
            </w:pPr>
            <w:r>
              <w:rPr>
                <w:rFonts w:ascii="Arial" w:cs="Arial" w:eastAsia="Arial" w:hAnsi="Arial"/>
                <w:sz w:val="13"/>
                <w:szCs w:val="13"/>
                <w:color w:val="auto"/>
              </w:rPr>
              <w:t>Shareholder</w:t>
            </w:r>
          </w:p>
        </w:tc>
        <w:tc>
          <w:tcPr>
            <w:tcW w:w="1160" w:type="dxa"/>
            <w:vAlign w:val="bottom"/>
          </w:tcPr>
          <w:p>
            <w:pPr>
              <w:jc w:val="center"/>
              <w:spacing w:after="0"/>
              <w:rPr>
                <w:sz w:val="20"/>
                <w:szCs w:val="20"/>
                <w:color w:val="auto"/>
              </w:rPr>
            </w:pPr>
            <w:r>
              <w:rPr>
                <w:rFonts w:ascii="Arial" w:cs="Arial" w:eastAsia="Arial" w:hAnsi="Arial"/>
                <w:sz w:val="13"/>
                <w:szCs w:val="13"/>
                <w:color w:val="auto"/>
              </w:rPr>
              <w:t>Net Income</w:t>
            </w:r>
          </w:p>
        </w:tc>
        <w:tc>
          <w:tcPr>
            <w:tcW w:w="1400" w:type="dxa"/>
            <w:vAlign w:val="bottom"/>
          </w:tcPr>
          <w:p>
            <w:pPr>
              <w:jc w:val="center"/>
              <w:spacing w:after="0"/>
              <w:rPr>
                <w:sz w:val="20"/>
                <w:szCs w:val="20"/>
                <w:color w:val="auto"/>
              </w:rPr>
            </w:pPr>
            <w:r>
              <w:rPr>
                <w:rFonts w:ascii="Arial" w:cs="Arial" w:eastAsia="Arial" w:hAnsi="Arial"/>
                <w:sz w:val="13"/>
                <w:szCs w:val="13"/>
                <w:color w:val="auto"/>
              </w:rPr>
              <w:t>Compensation</w:t>
            </w:r>
          </w:p>
        </w:tc>
        <w:tc>
          <w:tcPr>
            <w:tcW w:w="0" w:type="dxa"/>
            <w:vAlign w:val="bottom"/>
          </w:tcPr>
          <w:p>
            <w:pPr>
              <w:spacing w:after="0"/>
              <w:rPr>
                <w:sz w:val="1"/>
                <w:szCs w:val="1"/>
                <w:color w:val="auto"/>
              </w:rPr>
            </w:pPr>
          </w:p>
        </w:tc>
      </w:tr>
      <w:tr>
        <w:trPr>
          <w:trHeight w:val="149"/>
        </w:trPr>
        <w:tc>
          <w:tcPr>
            <w:tcW w:w="820" w:type="dxa"/>
            <w:vAlign w:val="bottom"/>
            <w:vMerge w:val="restart"/>
          </w:tcPr>
          <w:p>
            <w:pPr>
              <w:jc w:val="right"/>
              <w:ind w:right="174"/>
              <w:spacing w:after="0"/>
              <w:rPr>
                <w:sz w:val="20"/>
                <w:szCs w:val="20"/>
                <w:color w:val="auto"/>
              </w:rPr>
            </w:pPr>
            <w:r>
              <w:rPr>
                <w:rFonts w:ascii="Arial" w:cs="Arial" w:eastAsia="Arial" w:hAnsi="Arial"/>
                <w:sz w:val="13"/>
                <w:szCs w:val="13"/>
                <w:color w:val="auto"/>
              </w:rPr>
              <w:t xml:space="preserve">Year </w:t>
            </w:r>
            <w:r>
              <w:rPr>
                <w:rFonts w:ascii="Arial" w:cs="Arial" w:eastAsia="Arial" w:hAnsi="Arial"/>
                <w:sz w:val="22"/>
                <w:szCs w:val="22"/>
                <w:color w:val="auto"/>
                <w:vertAlign w:val="superscript"/>
              </w:rPr>
              <w:t>(a)</w:t>
            </w:r>
          </w:p>
        </w:tc>
        <w:tc>
          <w:tcPr>
            <w:tcW w:w="1420" w:type="dxa"/>
            <w:vAlign w:val="bottom"/>
          </w:tcPr>
          <w:p>
            <w:pPr>
              <w:jc w:val="center"/>
              <w:ind w:right="34"/>
              <w:spacing w:after="0"/>
              <w:rPr>
                <w:sz w:val="20"/>
                <w:szCs w:val="20"/>
                <w:color w:val="auto"/>
              </w:rPr>
            </w:pPr>
            <w:r>
              <w:rPr>
                <w:rFonts w:ascii="Arial" w:cs="Arial" w:eastAsia="Arial" w:hAnsi="Arial"/>
                <w:sz w:val="13"/>
                <w:szCs w:val="13"/>
                <w:color w:val="auto"/>
              </w:rPr>
              <w:t>PEO</w:t>
            </w:r>
          </w:p>
        </w:tc>
        <w:tc>
          <w:tcPr>
            <w:tcW w:w="1320" w:type="dxa"/>
            <w:vAlign w:val="bottom"/>
          </w:tcPr>
          <w:p>
            <w:pPr>
              <w:jc w:val="center"/>
              <w:ind w:right="74"/>
              <w:spacing w:after="0"/>
              <w:rPr>
                <w:sz w:val="20"/>
                <w:szCs w:val="20"/>
                <w:color w:val="auto"/>
              </w:rPr>
            </w:pPr>
            <w:r>
              <w:rPr>
                <w:rFonts w:ascii="Arial" w:cs="Arial" w:eastAsia="Arial" w:hAnsi="Arial"/>
                <w:sz w:val="13"/>
                <w:szCs w:val="13"/>
                <w:color w:val="auto"/>
              </w:rPr>
              <w:t>to PEO</w:t>
            </w:r>
          </w:p>
        </w:tc>
        <w:tc>
          <w:tcPr>
            <w:tcW w:w="1360" w:type="dxa"/>
            <w:vAlign w:val="bottom"/>
          </w:tcPr>
          <w:p>
            <w:pPr>
              <w:jc w:val="center"/>
              <w:ind w:right="54"/>
              <w:spacing w:after="0"/>
              <w:rPr>
                <w:sz w:val="20"/>
                <w:szCs w:val="20"/>
                <w:color w:val="auto"/>
              </w:rPr>
            </w:pPr>
            <w:r>
              <w:rPr>
                <w:rFonts w:ascii="Arial" w:cs="Arial" w:eastAsia="Arial" w:hAnsi="Arial"/>
                <w:sz w:val="13"/>
                <w:szCs w:val="13"/>
                <w:color w:val="auto"/>
              </w:rPr>
              <w:t>Non-PEO NEOs</w:t>
            </w:r>
          </w:p>
        </w:tc>
        <w:tc>
          <w:tcPr>
            <w:tcW w:w="1280" w:type="dxa"/>
            <w:vAlign w:val="bottom"/>
          </w:tcPr>
          <w:p>
            <w:pPr>
              <w:jc w:val="center"/>
              <w:spacing w:after="0"/>
              <w:rPr>
                <w:sz w:val="20"/>
                <w:szCs w:val="20"/>
                <w:color w:val="auto"/>
              </w:rPr>
            </w:pPr>
            <w:r>
              <w:rPr>
                <w:rFonts w:ascii="Arial" w:cs="Arial" w:eastAsia="Arial" w:hAnsi="Arial"/>
                <w:sz w:val="13"/>
                <w:szCs w:val="13"/>
                <w:color w:val="auto"/>
              </w:rPr>
              <w:t>Non-PEO NEOs</w:t>
            </w:r>
          </w:p>
        </w:tc>
        <w:tc>
          <w:tcPr>
            <w:tcW w:w="1120" w:type="dxa"/>
            <w:vAlign w:val="bottom"/>
          </w:tcPr>
          <w:p>
            <w:pPr>
              <w:jc w:val="center"/>
              <w:spacing w:after="0"/>
              <w:rPr>
                <w:sz w:val="20"/>
                <w:szCs w:val="20"/>
                <w:color w:val="auto"/>
              </w:rPr>
            </w:pPr>
            <w:r>
              <w:rPr>
                <w:rFonts w:ascii="Arial" w:cs="Arial" w:eastAsia="Arial" w:hAnsi="Arial"/>
                <w:sz w:val="13"/>
                <w:szCs w:val="13"/>
                <w:color w:val="auto"/>
              </w:rPr>
              <w:t>Return</w:t>
            </w:r>
          </w:p>
        </w:tc>
        <w:tc>
          <w:tcPr>
            <w:tcW w:w="1360" w:type="dxa"/>
            <w:vAlign w:val="bottom"/>
          </w:tcPr>
          <w:p>
            <w:pPr>
              <w:jc w:val="center"/>
              <w:spacing w:after="0"/>
              <w:rPr>
                <w:sz w:val="20"/>
                <w:szCs w:val="20"/>
                <w:color w:val="auto"/>
              </w:rPr>
            </w:pPr>
            <w:r>
              <w:rPr>
                <w:rFonts w:ascii="Arial" w:cs="Arial" w:eastAsia="Arial" w:hAnsi="Arial"/>
                <w:sz w:val="13"/>
                <w:szCs w:val="13"/>
                <w:color w:val="auto"/>
              </w:rPr>
              <w:t>Return</w:t>
            </w:r>
          </w:p>
        </w:tc>
        <w:tc>
          <w:tcPr>
            <w:tcW w:w="1160" w:type="dxa"/>
            <w:vAlign w:val="bottom"/>
          </w:tcPr>
          <w:p>
            <w:pPr>
              <w:jc w:val="center"/>
              <w:spacing w:after="0"/>
              <w:rPr>
                <w:sz w:val="20"/>
                <w:szCs w:val="20"/>
                <w:color w:val="auto"/>
              </w:rPr>
            </w:pPr>
            <w:r>
              <w:rPr>
                <w:rFonts w:ascii="Arial" w:cs="Arial" w:eastAsia="Arial" w:hAnsi="Arial"/>
                <w:sz w:val="13"/>
                <w:szCs w:val="13"/>
                <w:color w:val="auto"/>
              </w:rPr>
              <w:t>(Loss)</w:t>
            </w:r>
          </w:p>
        </w:tc>
        <w:tc>
          <w:tcPr>
            <w:tcW w:w="1400" w:type="dxa"/>
            <w:vAlign w:val="bottom"/>
          </w:tcPr>
          <w:p>
            <w:pPr>
              <w:jc w:val="center"/>
              <w:spacing w:after="0"/>
              <w:rPr>
                <w:sz w:val="20"/>
                <w:szCs w:val="20"/>
                <w:color w:val="auto"/>
              </w:rPr>
            </w:pPr>
            <w:r>
              <w:rPr>
                <w:rFonts w:ascii="Arial" w:cs="Arial" w:eastAsia="Arial" w:hAnsi="Arial"/>
                <w:sz w:val="13"/>
                <w:szCs w:val="13"/>
                <w:color w:val="auto"/>
              </w:rPr>
              <w:t>Value per</w:t>
            </w:r>
          </w:p>
        </w:tc>
        <w:tc>
          <w:tcPr>
            <w:tcW w:w="0" w:type="dxa"/>
            <w:vAlign w:val="bottom"/>
          </w:tcPr>
          <w:p>
            <w:pPr>
              <w:spacing w:after="0"/>
              <w:rPr>
                <w:sz w:val="1"/>
                <w:szCs w:val="1"/>
                <w:color w:val="auto"/>
              </w:rPr>
            </w:pPr>
          </w:p>
        </w:tc>
      </w:tr>
      <w:tr>
        <w:trPr>
          <w:trHeight w:val="174"/>
        </w:trPr>
        <w:tc>
          <w:tcPr>
            <w:tcW w:w="820" w:type="dxa"/>
            <w:vAlign w:val="bottom"/>
            <w:tcBorders>
              <w:bottom w:val="single" w:sz="8" w:color="auto"/>
            </w:tcBorders>
            <w:vMerge w:val="continue"/>
          </w:tcPr>
          <w:p>
            <w:pPr>
              <w:spacing w:after="0"/>
              <w:rPr>
                <w:sz w:val="15"/>
                <w:szCs w:val="15"/>
                <w:color w:val="auto"/>
              </w:rPr>
            </w:pPr>
          </w:p>
        </w:tc>
        <w:tc>
          <w:tcPr>
            <w:tcW w:w="1420" w:type="dxa"/>
            <w:vAlign w:val="bottom"/>
            <w:tcBorders>
              <w:bottom w:val="single" w:sz="8" w:color="auto"/>
            </w:tcBorders>
          </w:tcPr>
          <w:p>
            <w:pPr>
              <w:jc w:val="center"/>
              <w:ind w:right="54"/>
              <w:spacing w:after="0" w:line="174" w:lineRule="exact"/>
              <w:rPr>
                <w:sz w:val="20"/>
                <w:szCs w:val="20"/>
                <w:color w:val="auto"/>
              </w:rPr>
            </w:pPr>
            <w:r>
              <w:rPr>
                <w:rFonts w:ascii="Arial" w:cs="Arial" w:eastAsia="Arial" w:hAnsi="Arial"/>
                <w:sz w:val="12"/>
                <w:szCs w:val="12"/>
                <w:color w:val="auto"/>
                <w:w w:val="96"/>
              </w:rPr>
              <w:t>($)</w:t>
            </w:r>
            <w:r>
              <w:rPr>
                <w:rFonts w:ascii="Arial" w:cs="Arial" w:eastAsia="Arial" w:hAnsi="Arial"/>
                <w:sz w:val="20"/>
                <w:szCs w:val="20"/>
                <w:color w:val="auto"/>
                <w:w w:val="96"/>
                <w:vertAlign w:val="superscript"/>
              </w:rPr>
              <w:t>(b)</w:t>
            </w:r>
          </w:p>
        </w:tc>
        <w:tc>
          <w:tcPr>
            <w:tcW w:w="1320" w:type="dxa"/>
            <w:vAlign w:val="bottom"/>
            <w:tcBorders>
              <w:bottom w:val="single" w:sz="8" w:color="auto"/>
            </w:tcBorders>
          </w:tcPr>
          <w:p>
            <w:pPr>
              <w:jc w:val="center"/>
              <w:ind w:right="74"/>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tcPr>
          <w:p>
            <w:pPr>
              <w:jc w:val="center"/>
              <w:ind w:right="34"/>
              <w:spacing w:after="0" w:line="174" w:lineRule="exact"/>
              <w:rPr>
                <w:sz w:val="20"/>
                <w:szCs w:val="20"/>
                <w:color w:val="auto"/>
              </w:rPr>
            </w:pPr>
            <w:r>
              <w:rPr>
                <w:rFonts w:ascii="Arial" w:cs="Arial" w:eastAsia="Arial" w:hAnsi="Arial"/>
                <w:sz w:val="12"/>
                <w:szCs w:val="12"/>
                <w:color w:val="auto"/>
                <w:w w:val="96"/>
              </w:rPr>
              <w:t>($)</w:t>
            </w:r>
            <w:r>
              <w:rPr>
                <w:rFonts w:ascii="Arial" w:cs="Arial" w:eastAsia="Arial" w:hAnsi="Arial"/>
                <w:sz w:val="20"/>
                <w:szCs w:val="20"/>
                <w:color w:val="auto"/>
                <w:w w:val="96"/>
                <w:vertAlign w:val="superscript"/>
              </w:rPr>
              <w:t>(b)</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tcPr>
          <w:p>
            <w:pPr>
              <w:jc w:val="center"/>
              <w:spacing w:after="0" w:line="174" w:lineRule="exact"/>
              <w:rPr>
                <w:sz w:val="20"/>
                <w:szCs w:val="20"/>
                <w:color w:val="auto"/>
              </w:rPr>
            </w:pPr>
            <w:r>
              <w:rPr>
                <w:rFonts w:ascii="Arial" w:cs="Arial" w:eastAsia="Arial" w:hAnsi="Arial"/>
                <w:sz w:val="12"/>
                <w:szCs w:val="12"/>
                <w:color w:val="auto"/>
                <w:w w:val="92"/>
              </w:rPr>
              <w:t>($)</w:t>
            </w:r>
            <w:r>
              <w:rPr>
                <w:rFonts w:ascii="Arial" w:cs="Arial" w:eastAsia="Arial" w:hAnsi="Arial"/>
                <w:sz w:val="20"/>
                <w:szCs w:val="20"/>
                <w:color w:val="auto"/>
                <w:w w:val="92"/>
                <w:vertAlign w:val="superscript"/>
              </w:rPr>
              <w:t>(c)</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(millions $)</w:t>
            </w:r>
          </w:p>
        </w:tc>
        <w:tc>
          <w:tcPr>
            <w:tcW w:w="1400" w:type="dxa"/>
            <w:vAlign w:val="bottom"/>
            <w:tcBorders>
              <w:bottom w:val="single" w:sz="8" w:color="auto"/>
            </w:tcBorders>
          </w:tcPr>
          <w:p>
            <w:pPr>
              <w:jc w:val="center"/>
              <w:spacing w:after="0" w:line="174" w:lineRule="exact"/>
              <w:rPr>
                <w:sz w:val="20"/>
                <w:szCs w:val="20"/>
                <w:color w:val="auto"/>
              </w:rPr>
            </w:pPr>
            <w:r>
              <w:rPr>
                <w:rFonts w:ascii="Arial" w:cs="Arial" w:eastAsia="Arial" w:hAnsi="Arial"/>
                <w:sz w:val="12"/>
                <w:szCs w:val="12"/>
                <w:color w:val="auto"/>
                <w:w w:val="99"/>
              </w:rPr>
              <w:t>Share</w:t>
            </w:r>
            <w:r>
              <w:rPr>
                <w:rFonts w:ascii="Arial" w:cs="Arial" w:eastAsia="Arial" w:hAnsi="Arial"/>
                <w:sz w:val="20"/>
                <w:szCs w:val="20"/>
                <w:color w:val="auto"/>
                <w:w w:val="99"/>
                <w:vertAlign w:val="superscript"/>
              </w:rPr>
              <w:t>(d)</w:t>
            </w:r>
          </w:p>
        </w:tc>
        <w:tc>
          <w:tcPr>
            <w:tcW w:w="0" w:type="dxa"/>
            <w:vAlign w:val="bottom"/>
          </w:tcPr>
          <w:p>
            <w:pPr>
              <w:spacing w:after="0"/>
              <w:rPr>
                <w:sz w:val="1"/>
                <w:szCs w:val="1"/>
                <w:color w:val="auto"/>
              </w:rPr>
            </w:pPr>
          </w:p>
        </w:tc>
      </w:tr>
      <w:tr>
        <w:trPr>
          <w:trHeight w:val="134"/>
        </w:trPr>
        <w:tc>
          <w:tcPr>
            <w:tcW w:w="820" w:type="dxa"/>
            <w:vAlign w:val="bottom"/>
          </w:tcPr>
          <w:p>
            <w:pPr>
              <w:jc w:val="right"/>
              <w:ind w:right="374"/>
              <w:spacing w:after="0" w:line="134" w:lineRule="exact"/>
              <w:rPr>
                <w:sz w:val="20"/>
                <w:szCs w:val="20"/>
                <w:color w:val="auto"/>
              </w:rPr>
            </w:pPr>
            <w:r>
              <w:rPr>
                <w:rFonts w:ascii="Arial" w:cs="Arial" w:eastAsia="Arial" w:hAnsi="Arial"/>
                <w:sz w:val="13"/>
                <w:szCs w:val="13"/>
                <w:color w:val="auto"/>
              </w:rPr>
              <w:t>2025</w:t>
            </w:r>
          </w:p>
        </w:tc>
        <w:tc>
          <w:tcPr>
            <w:tcW w:w="1420" w:type="dxa"/>
            <w:vAlign w:val="bottom"/>
          </w:tcPr>
          <w:p>
            <w:pPr>
              <w:jc w:val="right"/>
              <w:ind w:right="114"/>
              <w:spacing w:after="0" w:line="134" w:lineRule="exact"/>
              <w:rPr>
                <w:sz w:val="20"/>
                <w:szCs w:val="20"/>
                <w:color w:val="auto"/>
              </w:rPr>
            </w:pPr>
            <w:r>
              <w:rPr>
                <w:rFonts w:ascii="Arial" w:cs="Arial" w:eastAsia="Arial" w:hAnsi="Arial"/>
                <w:sz w:val="13"/>
                <w:szCs w:val="13"/>
                <w:color w:val="auto"/>
              </w:rPr>
              <w:t>8,064,309</w:t>
            </w:r>
          </w:p>
        </w:tc>
        <w:tc>
          <w:tcPr>
            <w:tcW w:w="1320" w:type="dxa"/>
            <w:vAlign w:val="bottom"/>
          </w:tcPr>
          <w:p>
            <w:pPr>
              <w:jc w:val="right"/>
              <w:ind w:right="74"/>
              <w:spacing w:after="0" w:line="134" w:lineRule="exact"/>
              <w:rPr>
                <w:sz w:val="20"/>
                <w:szCs w:val="20"/>
                <w:color w:val="auto"/>
              </w:rPr>
            </w:pPr>
            <w:r>
              <w:rPr>
                <w:rFonts w:ascii="Arial" w:cs="Arial" w:eastAsia="Arial" w:hAnsi="Arial"/>
                <w:sz w:val="13"/>
                <w:szCs w:val="13"/>
                <w:color w:val="auto"/>
              </w:rPr>
              <w:t>16,330,438</w:t>
            </w:r>
          </w:p>
        </w:tc>
        <w:tc>
          <w:tcPr>
            <w:tcW w:w="1360" w:type="dxa"/>
            <w:vAlign w:val="bottom"/>
          </w:tcPr>
          <w:p>
            <w:pPr>
              <w:jc w:val="right"/>
              <w:ind w:right="74"/>
              <w:spacing w:after="0" w:line="134" w:lineRule="exact"/>
              <w:rPr>
                <w:sz w:val="20"/>
                <w:szCs w:val="20"/>
                <w:color w:val="auto"/>
              </w:rPr>
            </w:pPr>
            <w:r>
              <w:rPr>
                <w:rFonts w:ascii="Arial" w:cs="Arial" w:eastAsia="Arial" w:hAnsi="Arial"/>
                <w:sz w:val="13"/>
                <w:szCs w:val="13"/>
                <w:color w:val="auto"/>
              </w:rPr>
              <w:t>5,092,417</w:t>
            </w:r>
          </w:p>
        </w:tc>
        <w:tc>
          <w:tcPr>
            <w:tcW w:w="1280" w:type="dxa"/>
            <w:vAlign w:val="bottom"/>
          </w:tcPr>
          <w:p>
            <w:pPr>
              <w:jc w:val="right"/>
              <w:ind w:right="14"/>
              <w:spacing w:after="0" w:line="134" w:lineRule="exact"/>
              <w:rPr>
                <w:sz w:val="20"/>
                <w:szCs w:val="20"/>
                <w:color w:val="auto"/>
              </w:rPr>
            </w:pPr>
            <w:r>
              <w:rPr>
                <w:rFonts w:ascii="Arial" w:cs="Arial" w:eastAsia="Arial" w:hAnsi="Arial"/>
                <w:sz w:val="13"/>
                <w:szCs w:val="13"/>
                <w:color w:val="auto"/>
              </w:rPr>
              <w:t>8,846,701</w:t>
            </w:r>
          </w:p>
        </w:tc>
        <w:tc>
          <w:tcPr>
            <w:tcW w:w="1120" w:type="dxa"/>
            <w:vAlign w:val="bottom"/>
          </w:tcPr>
          <w:p>
            <w:pPr>
              <w:jc w:val="center"/>
              <w:spacing w:after="0" w:line="134" w:lineRule="exact"/>
              <w:rPr>
                <w:sz w:val="20"/>
                <w:szCs w:val="20"/>
                <w:color w:val="auto"/>
              </w:rPr>
            </w:pPr>
            <w:r>
              <w:rPr>
                <w:rFonts w:ascii="Arial" w:cs="Arial" w:eastAsia="Arial" w:hAnsi="Arial"/>
                <w:sz w:val="13"/>
                <w:szCs w:val="13"/>
                <w:color w:val="auto"/>
              </w:rPr>
              <w:t>208.42</w:t>
            </w:r>
          </w:p>
        </w:tc>
        <w:tc>
          <w:tcPr>
            <w:tcW w:w="1360" w:type="dxa"/>
            <w:vAlign w:val="bottom"/>
          </w:tcPr>
          <w:p>
            <w:pPr>
              <w:jc w:val="center"/>
              <w:spacing w:after="0" w:line="134" w:lineRule="exact"/>
              <w:rPr>
                <w:sz w:val="20"/>
                <w:szCs w:val="20"/>
                <w:color w:val="auto"/>
              </w:rPr>
            </w:pPr>
            <w:r>
              <w:rPr>
                <w:rFonts w:ascii="Arial" w:cs="Arial" w:eastAsia="Arial" w:hAnsi="Arial"/>
                <w:sz w:val="13"/>
                <w:szCs w:val="13"/>
                <w:color w:val="auto"/>
              </w:rPr>
              <w:t>234.32</w:t>
            </w:r>
          </w:p>
        </w:tc>
        <w:tc>
          <w:tcPr>
            <w:tcW w:w="1160" w:type="dxa"/>
            <w:vAlign w:val="bottom"/>
          </w:tcPr>
          <w:p>
            <w:pPr>
              <w:jc w:val="right"/>
              <w:ind w:right="274"/>
              <w:spacing w:after="0" w:line="134" w:lineRule="exact"/>
              <w:rPr>
                <w:sz w:val="20"/>
                <w:szCs w:val="20"/>
                <w:color w:val="auto"/>
              </w:rPr>
            </w:pPr>
            <w:r>
              <w:rPr>
                <w:rFonts w:ascii="Arial" w:cs="Arial" w:eastAsia="Arial" w:hAnsi="Arial"/>
                <w:sz w:val="13"/>
                <w:szCs w:val="13"/>
                <w:color w:val="auto"/>
              </w:rPr>
              <w:t>1,106.4</w:t>
            </w:r>
          </w:p>
        </w:tc>
        <w:tc>
          <w:tcPr>
            <w:tcW w:w="1400" w:type="dxa"/>
            <w:vAlign w:val="bottom"/>
          </w:tcPr>
          <w:p>
            <w:pPr>
              <w:jc w:val="center"/>
              <w:ind w:right="334"/>
              <w:spacing w:after="0" w:line="134" w:lineRule="exact"/>
              <w:rPr>
                <w:sz w:val="20"/>
                <w:szCs w:val="20"/>
                <w:color w:val="auto"/>
              </w:rPr>
            </w:pPr>
            <w:r>
              <w:rPr>
                <w:rFonts w:ascii="Arial" w:cs="Arial" w:eastAsia="Arial" w:hAnsi="Arial"/>
                <w:sz w:val="13"/>
                <w:szCs w:val="13"/>
                <w:color w:val="auto"/>
                <w:w w:val="97"/>
              </w:rPr>
              <w:t>22.8%</w:t>
            </w:r>
          </w:p>
        </w:tc>
        <w:tc>
          <w:tcPr>
            <w:tcW w:w="0" w:type="dxa"/>
            <w:vAlign w:val="bottom"/>
          </w:tcPr>
          <w:p>
            <w:pPr>
              <w:spacing w:after="0"/>
              <w:rPr>
                <w:sz w:val="1"/>
                <w:szCs w:val="1"/>
                <w:color w:val="auto"/>
              </w:rPr>
            </w:pPr>
          </w:p>
        </w:tc>
      </w:tr>
      <w:tr>
        <w:trPr>
          <w:trHeight w:val="149"/>
        </w:trPr>
        <w:tc>
          <w:tcPr>
            <w:tcW w:w="820" w:type="dxa"/>
            <w:vAlign w:val="bottom"/>
          </w:tcPr>
          <w:p>
            <w:pPr>
              <w:jc w:val="right"/>
              <w:ind w:right="374"/>
              <w:spacing w:after="0"/>
              <w:rPr>
                <w:sz w:val="20"/>
                <w:szCs w:val="20"/>
                <w:color w:val="auto"/>
              </w:rPr>
            </w:pPr>
            <w:r>
              <w:rPr>
                <w:rFonts w:ascii="Arial" w:cs="Arial" w:eastAsia="Arial" w:hAnsi="Arial"/>
                <w:sz w:val="13"/>
                <w:szCs w:val="13"/>
                <w:color w:val="auto"/>
              </w:rPr>
              <w:t>2024</w:t>
            </w:r>
          </w:p>
        </w:tc>
        <w:tc>
          <w:tcPr>
            <w:tcW w:w="1420" w:type="dxa"/>
            <w:vAlign w:val="bottom"/>
          </w:tcPr>
          <w:p>
            <w:pPr>
              <w:jc w:val="right"/>
              <w:ind w:right="114"/>
              <w:spacing w:after="0"/>
              <w:rPr>
                <w:sz w:val="20"/>
                <w:szCs w:val="20"/>
                <w:color w:val="auto"/>
              </w:rPr>
            </w:pPr>
            <w:r>
              <w:rPr>
                <w:rFonts w:ascii="Arial" w:cs="Arial" w:eastAsia="Arial" w:hAnsi="Arial"/>
                <w:sz w:val="13"/>
                <w:szCs w:val="13"/>
                <w:color w:val="auto"/>
              </w:rPr>
              <w:t>7,422,958</w:t>
            </w:r>
          </w:p>
        </w:tc>
        <w:tc>
          <w:tcPr>
            <w:tcW w:w="1320" w:type="dxa"/>
            <w:vAlign w:val="bottom"/>
          </w:tcPr>
          <w:p>
            <w:pPr>
              <w:jc w:val="right"/>
              <w:ind w:right="74"/>
              <w:spacing w:after="0"/>
              <w:rPr>
                <w:sz w:val="20"/>
                <w:szCs w:val="20"/>
                <w:color w:val="auto"/>
              </w:rPr>
            </w:pPr>
            <w:r>
              <w:rPr>
                <w:rFonts w:ascii="Arial" w:cs="Arial" w:eastAsia="Arial" w:hAnsi="Arial"/>
                <w:sz w:val="13"/>
                <w:szCs w:val="13"/>
                <w:color w:val="auto"/>
              </w:rPr>
              <w:t>14,100,992</w:t>
            </w:r>
          </w:p>
        </w:tc>
        <w:tc>
          <w:tcPr>
            <w:tcW w:w="1360" w:type="dxa"/>
            <w:vAlign w:val="bottom"/>
          </w:tcPr>
          <w:p>
            <w:pPr>
              <w:jc w:val="right"/>
              <w:ind w:right="74"/>
              <w:spacing w:after="0"/>
              <w:rPr>
                <w:sz w:val="20"/>
                <w:szCs w:val="20"/>
                <w:color w:val="auto"/>
              </w:rPr>
            </w:pPr>
            <w:r>
              <w:rPr>
                <w:rFonts w:ascii="Arial" w:cs="Arial" w:eastAsia="Arial" w:hAnsi="Arial"/>
                <w:sz w:val="13"/>
                <w:szCs w:val="13"/>
                <w:color w:val="auto"/>
              </w:rPr>
              <w:t>4,213,430</w:t>
            </w:r>
          </w:p>
        </w:tc>
        <w:tc>
          <w:tcPr>
            <w:tcW w:w="1280" w:type="dxa"/>
            <w:vAlign w:val="bottom"/>
          </w:tcPr>
          <w:p>
            <w:pPr>
              <w:jc w:val="right"/>
              <w:ind w:right="14"/>
              <w:spacing w:after="0"/>
              <w:rPr>
                <w:sz w:val="20"/>
                <w:szCs w:val="20"/>
                <w:color w:val="auto"/>
              </w:rPr>
            </w:pPr>
            <w:r>
              <w:rPr>
                <w:rFonts w:ascii="Arial" w:cs="Arial" w:eastAsia="Arial" w:hAnsi="Arial"/>
                <w:sz w:val="13"/>
                <w:szCs w:val="13"/>
                <w:color w:val="auto"/>
              </w:rPr>
              <w:t>6,247,597</w:t>
            </w:r>
          </w:p>
        </w:tc>
        <w:tc>
          <w:tcPr>
            <w:tcW w:w="1120" w:type="dxa"/>
            <w:vAlign w:val="bottom"/>
          </w:tcPr>
          <w:p>
            <w:pPr>
              <w:jc w:val="center"/>
              <w:spacing w:after="0"/>
              <w:rPr>
                <w:sz w:val="20"/>
                <w:szCs w:val="20"/>
                <w:color w:val="auto"/>
              </w:rPr>
            </w:pPr>
            <w:r>
              <w:rPr>
                <w:rFonts w:ascii="Arial" w:cs="Arial" w:eastAsia="Arial" w:hAnsi="Arial"/>
                <w:sz w:val="13"/>
                <w:szCs w:val="13"/>
                <w:color w:val="auto"/>
              </w:rPr>
              <w:t>175.12</w:t>
            </w:r>
          </w:p>
        </w:tc>
        <w:tc>
          <w:tcPr>
            <w:tcW w:w="1360" w:type="dxa"/>
            <w:vAlign w:val="bottom"/>
          </w:tcPr>
          <w:p>
            <w:pPr>
              <w:jc w:val="center"/>
              <w:spacing w:after="0"/>
              <w:rPr>
                <w:sz w:val="20"/>
                <w:szCs w:val="20"/>
                <w:color w:val="auto"/>
              </w:rPr>
            </w:pPr>
            <w:r>
              <w:rPr>
                <w:rFonts w:ascii="Arial" w:cs="Arial" w:eastAsia="Arial" w:hAnsi="Arial"/>
                <w:sz w:val="13"/>
                <w:szCs w:val="13"/>
                <w:color w:val="auto"/>
              </w:rPr>
              <w:t>227.67</w:t>
            </w:r>
          </w:p>
        </w:tc>
        <w:tc>
          <w:tcPr>
            <w:tcW w:w="1160" w:type="dxa"/>
            <w:vAlign w:val="bottom"/>
          </w:tcPr>
          <w:p>
            <w:pPr>
              <w:jc w:val="right"/>
              <w:ind w:right="274"/>
              <w:spacing w:after="0"/>
              <w:rPr>
                <w:sz w:val="20"/>
                <w:szCs w:val="20"/>
                <w:color w:val="auto"/>
              </w:rPr>
            </w:pPr>
            <w:r>
              <w:rPr>
                <w:rFonts w:ascii="Arial" w:cs="Arial" w:eastAsia="Arial" w:hAnsi="Arial"/>
                <w:sz w:val="13"/>
                <w:szCs w:val="13"/>
                <w:color w:val="auto"/>
              </w:rPr>
              <w:t>230.4</w:t>
            </w:r>
          </w:p>
        </w:tc>
        <w:tc>
          <w:tcPr>
            <w:tcW w:w="1400" w:type="dxa"/>
            <w:vAlign w:val="bottom"/>
          </w:tcPr>
          <w:p>
            <w:pPr>
              <w:jc w:val="center"/>
              <w:ind w:right="314"/>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49"/>
        </w:trPr>
        <w:tc>
          <w:tcPr>
            <w:tcW w:w="820" w:type="dxa"/>
            <w:vAlign w:val="bottom"/>
          </w:tcPr>
          <w:p>
            <w:pPr>
              <w:jc w:val="right"/>
              <w:ind w:right="374"/>
              <w:spacing w:after="0"/>
              <w:rPr>
                <w:sz w:val="20"/>
                <w:szCs w:val="20"/>
                <w:color w:val="auto"/>
              </w:rPr>
            </w:pPr>
            <w:r>
              <w:rPr>
                <w:rFonts w:ascii="Arial" w:cs="Arial" w:eastAsia="Arial" w:hAnsi="Arial"/>
                <w:sz w:val="13"/>
                <w:szCs w:val="13"/>
                <w:color w:val="auto"/>
              </w:rPr>
              <w:t>2023</w:t>
            </w:r>
          </w:p>
        </w:tc>
        <w:tc>
          <w:tcPr>
            <w:tcW w:w="1420" w:type="dxa"/>
            <w:vAlign w:val="bottom"/>
          </w:tcPr>
          <w:p>
            <w:pPr>
              <w:jc w:val="right"/>
              <w:ind w:right="114"/>
              <w:spacing w:after="0"/>
              <w:rPr>
                <w:sz w:val="20"/>
                <w:szCs w:val="20"/>
                <w:color w:val="auto"/>
              </w:rPr>
            </w:pPr>
            <w:r>
              <w:rPr>
                <w:rFonts w:ascii="Arial" w:cs="Arial" w:eastAsia="Arial" w:hAnsi="Arial"/>
                <w:sz w:val="13"/>
                <w:szCs w:val="13"/>
                <w:color w:val="auto"/>
              </w:rPr>
              <w:t>7,577,001</w:t>
            </w:r>
          </w:p>
        </w:tc>
        <w:tc>
          <w:tcPr>
            <w:tcW w:w="1320" w:type="dxa"/>
            <w:vAlign w:val="bottom"/>
          </w:tcPr>
          <w:p>
            <w:pPr>
              <w:jc w:val="right"/>
              <w:ind w:right="74"/>
              <w:spacing w:after="0"/>
              <w:rPr>
                <w:sz w:val="20"/>
                <w:szCs w:val="20"/>
                <w:color w:val="auto"/>
              </w:rPr>
            </w:pPr>
            <w:r>
              <w:rPr>
                <w:rFonts w:ascii="Arial" w:cs="Arial" w:eastAsia="Arial" w:hAnsi="Arial"/>
                <w:sz w:val="13"/>
                <w:szCs w:val="13"/>
                <w:color w:val="auto"/>
              </w:rPr>
              <w:t>11,680,222</w:t>
            </w:r>
          </w:p>
        </w:tc>
        <w:tc>
          <w:tcPr>
            <w:tcW w:w="1360" w:type="dxa"/>
            <w:vAlign w:val="bottom"/>
          </w:tcPr>
          <w:p>
            <w:pPr>
              <w:jc w:val="right"/>
              <w:ind w:right="74"/>
              <w:spacing w:after="0"/>
              <w:rPr>
                <w:sz w:val="20"/>
                <w:szCs w:val="20"/>
                <w:color w:val="auto"/>
              </w:rPr>
            </w:pPr>
            <w:r>
              <w:rPr>
                <w:rFonts w:ascii="Arial" w:cs="Arial" w:eastAsia="Arial" w:hAnsi="Arial"/>
                <w:sz w:val="13"/>
                <w:szCs w:val="13"/>
                <w:color w:val="auto"/>
              </w:rPr>
              <w:t>3,697,210</w:t>
            </w:r>
          </w:p>
        </w:tc>
        <w:tc>
          <w:tcPr>
            <w:tcW w:w="1280" w:type="dxa"/>
            <w:vAlign w:val="bottom"/>
          </w:tcPr>
          <w:p>
            <w:pPr>
              <w:jc w:val="right"/>
              <w:ind w:right="14"/>
              <w:spacing w:after="0"/>
              <w:rPr>
                <w:sz w:val="20"/>
                <w:szCs w:val="20"/>
                <w:color w:val="auto"/>
              </w:rPr>
            </w:pPr>
            <w:r>
              <w:rPr>
                <w:rFonts w:ascii="Arial" w:cs="Arial" w:eastAsia="Arial" w:hAnsi="Arial"/>
                <w:sz w:val="13"/>
                <w:szCs w:val="13"/>
                <w:color w:val="auto"/>
              </w:rPr>
              <w:t>4,999,435</w:t>
            </w:r>
          </w:p>
        </w:tc>
        <w:tc>
          <w:tcPr>
            <w:tcW w:w="1120" w:type="dxa"/>
            <w:vAlign w:val="bottom"/>
          </w:tcPr>
          <w:p>
            <w:pPr>
              <w:jc w:val="center"/>
              <w:spacing w:after="0"/>
              <w:rPr>
                <w:sz w:val="20"/>
                <w:szCs w:val="20"/>
                <w:color w:val="auto"/>
              </w:rPr>
            </w:pPr>
            <w:r>
              <w:rPr>
                <w:rFonts w:ascii="Arial" w:cs="Arial" w:eastAsia="Arial" w:hAnsi="Arial"/>
                <w:sz w:val="13"/>
                <w:szCs w:val="13"/>
                <w:color w:val="auto"/>
              </w:rPr>
              <w:t>135.42</w:t>
            </w:r>
          </w:p>
        </w:tc>
        <w:tc>
          <w:tcPr>
            <w:tcW w:w="1360" w:type="dxa"/>
            <w:vAlign w:val="bottom"/>
          </w:tcPr>
          <w:p>
            <w:pPr>
              <w:jc w:val="center"/>
              <w:spacing w:after="0"/>
              <w:rPr>
                <w:sz w:val="20"/>
                <w:szCs w:val="20"/>
                <w:color w:val="auto"/>
              </w:rPr>
            </w:pPr>
            <w:r>
              <w:rPr>
                <w:rFonts w:ascii="Arial" w:cs="Arial" w:eastAsia="Arial" w:hAnsi="Arial"/>
                <w:sz w:val="13"/>
                <w:szCs w:val="13"/>
                <w:color w:val="auto"/>
              </w:rPr>
              <w:t>168.05</w:t>
            </w:r>
          </w:p>
        </w:tc>
        <w:tc>
          <w:tcPr>
            <w:tcW w:w="1160" w:type="dxa"/>
            <w:vAlign w:val="bottom"/>
          </w:tcPr>
          <w:p>
            <w:pPr>
              <w:jc w:val="right"/>
              <w:ind w:right="274"/>
              <w:spacing w:after="0"/>
              <w:rPr>
                <w:sz w:val="20"/>
                <w:szCs w:val="20"/>
                <w:color w:val="auto"/>
              </w:rPr>
            </w:pPr>
            <w:r>
              <w:rPr>
                <w:rFonts w:ascii="Arial" w:cs="Arial" w:eastAsia="Arial" w:hAnsi="Arial"/>
                <w:sz w:val="13"/>
                <w:szCs w:val="13"/>
                <w:color w:val="auto"/>
              </w:rPr>
              <w:t>509.2</w:t>
            </w:r>
          </w:p>
        </w:tc>
        <w:tc>
          <w:tcPr>
            <w:tcW w:w="1400" w:type="dxa"/>
            <w:vAlign w:val="bottom"/>
          </w:tcPr>
          <w:p>
            <w:pPr>
              <w:jc w:val="center"/>
              <w:ind w:right="334"/>
              <w:spacing w:after="0"/>
              <w:rPr>
                <w:sz w:val="20"/>
                <w:szCs w:val="20"/>
                <w:color w:val="auto"/>
              </w:rPr>
            </w:pPr>
            <w:r>
              <w:rPr>
                <w:rFonts w:ascii="Arial" w:cs="Arial" w:eastAsia="Arial" w:hAnsi="Arial"/>
                <w:sz w:val="13"/>
                <w:szCs w:val="13"/>
                <w:color w:val="auto"/>
                <w:w w:val="97"/>
              </w:rPr>
              <w:t>14.5%</w:t>
            </w:r>
          </w:p>
        </w:tc>
        <w:tc>
          <w:tcPr>
            <w:tcW w:w="0" w:type="dxa"/>
            <w:vAlign w:val="bottom"/>
          </w:tcPr>
          <w:p>
            <w:pPr>
              <w:spacing w:after="0"/>
              <w:rPr>
                <w:sz w:val="1"/>
                <w:szCs w:val="1"/>
                <w:color w:val="auto"/>
              </w:rPr>
            </w:pPr>
          </w:p>
        </w:tc>
      </w:tr>
      <w:tr>
        <w:trPr>
          <w:trHeight w:val="149"/>
        </w:trPr>
        <w:tc>
          <w:tcPr>
            <w:tcW w:w="820" w:type="dxa"/>
            <w:vAlign w:val="bottom"/>
          </w:tcPr>
          <w:p>
            <w:pPr>
              <w:jc w:val="right"/>
              <w:ind w:right="374"/>
              <w:spacing w:after="0"/>
              <w:rPr>
                <w:sz w:val="20"/>
                <w:szCs w:val="20"/>
                <w:color w:val="auto"/>
              </w:rPr>
            </w:pPr>
            <w:r>
              <w:rPr>
                <w:rFonts w:ascii="Arial" w:cs="Arial" w:eastAsia="Arial" w:hAnsi="Arial"/>
                <w:sz w:val="13"/>
                <w:szCs w:val="13"/>
                <w:color w:val="auto"/>
              </w:rPr>
              <w:t>2022</w:t>
            </w:r>
          </w:p>
        </w:tc>
        <w:tc>
          <w:tcPr>
            <w:tcW w:w="1420" w:type="dxa"/>
            <w:vAlign w:val="bottom"/>
          </w:tcPr>
          <w:p>
            <w:pPr>
              <w:jc w:val="right"/>
              <w:ind w:right="114"/>
              <w:spacing w:after="0"/>
              <w:rPr>
                <w:sz w:val="20"/>
                <w:szCs w:val="20"/>
                <w:color w:val="auto"/>
              </w:rPr>
            </w:pPr>
            <w:r>
              <w:rPr>
                <w:rFonts w:ascii="Arial" w:cs="Arial" w:eastAsia="Arial" w:hAnsi="Arial"/>
                <w:sz w:val="13"/>
                <w:szCs w:val="13"/>
                <w:color w:val="auto"/>
              </w:rPr>
              <w:t>7,191,754</w:t>
            </w:r>
          </w:p>
        </w:tc>
        <w:tc>
          <w:tcPr>
            <w:tcW w:w="1320" w:type="dxa"/>
            <w:vAlign w:val="bottom"/>
          </w:tcPr>
          <w:p>
            <w:pPr>
              <w:jc w:val="right"/>
              <w:ind w:right="74"/>
              <w:spacing w:after="0"/>
              <w:rPr>
                <w:sz w:val="20"/>
                <w:szCs w:val="20"/>
                <w:color w:val="auto"/>
              </w:rPr>
            </w:pPr>
            <w:r>
              <w:rPr>
                <w:rFonts w:ascii="Arial" w:cs="Arial" w:eastAsia="Arial" w:hAnsi="Arial"/>
                <w:sz w:val="13"/>
                <w:szCs w:val="13"/>
                <w:color w:val="auto"/>
              </w:rPr>
              <w:t>23,147,640</w:t>
            </w:r>
          </w:p>
        </w:tc>
        <w:tc>
          <w:tcPr>
            <w:tcW w:w="1360" w:type="dxa"/>
            <w:vAlign w:val="bottom"/>
          </w:tcPr>
          <w:p>
            <w:pPr>
              <w:jc w:val="right"/>
              <w:ind w:right="74"/>
              <w:spacing w:after="0"/>
              <w:rPr>
                <w:sz w:val="20"/>
                <w:szCs w:val="20"/>
                <w:color w:val="auto"/>
              </w:rPr>
            </w:pPr>
            <w:r>
              <w:rPr>
                <w:rFonts w:ascii="Arial" w:cs="Arial" w:eastAsia="Arial" w:hAnsi="Arial"/>
                <w:sz w:val="13"/>
                <w:szCs w:val="13"/>
                <w:color w:val="auto"/>
              </w:rPr>
              <w:t>3,169,569</w:t>
            </w:r>
          </w:p>
        </w:tc>
        <w:tc>
          <w:tcPr>
            <w:tcW w:w="1280" w:type="dxa"/>
            <w:vAlign w:val="bottom"/>
          </w:tcPr>
          <w:p>
            <w:pPr>
              <w:jc w:val="right"/>
              <w:ind w:right="14"/>
              <w:spacing w:after="0"/>
              <w:rPr>
                <w:sz w:val="20"/>
                <w:szCs w:val="20"/>
                <w:color w:val="auto"/>
              </w:rPr>
            </w:pPr>
            <w:r>
              <w:rPr>
                <w:rFonts w:ascii="Arial" w:cs="Arial" w:eastAsia="Arial" w:hAnsi="Arial"/>
                <w:sz w:val="13"/>
                <w:szCs w:val="13"/>
                <w:color w:val="auto"/>
              </w:rPr>
              <w:t>7,992,051</w:t>
            </w:r>
          </w:p>
        </w:tc>
        <w:tc>
          <w:tcPr>
            <w:tcW w:w="1120" w:type="dxa"/>
            <w:vAlign w:val="bottom"/>
          </w:tcPr>
          <w:p>
            <w:pPr>
              <w:jc w:val="center"/>
              <w:spacing w:after="0"/>
              <w:rPr>
                <w:sz w:val="20"/>
                <w:szCs w:val="20"/>
                <w:color w:val="auto"/>
              </w:rPr>
            </w:pPr>
            <w:r>
              <w:rPr>
                <w:rFonts w:ascii="Arial" w:cs="Arial" w:eastAsia="Arial" w:hAnsi="Arial"/>
                <w:sz w:val="13"/>
                <w:szCs w:val="13"/>
                <w:color w:val="auto"/>
              </w:rPr>
              <w:t>127.17</w:t>
            </w:r>
          </w:p>
        </w:tc>
        <w:tc>
          <w:tcPr>
            <w:tcW w:w="1360" w:type="dxa"/>
            <w:vAlign w:val="bottom"/>
          </w:tcPr>
          <w:p>
            <w:pPr>
              <w:jc w:val="center"/>
              <w:spacing w:after="0"/>
              <w:rPr>
                <w:sz w:val="20"/>
                <w:szCs w:val="20"/>
                <w:color w:val="auto"/>
              </w:rPr>
            </w:pPr>
            <w:r>
              <w:rPr>
                <w:rFonts w:ascii="Arial" w:cs="Arial" w:eastAsia="Arial" w:hAnsi="Arial"/>
                <w:sz w:val="13"/>
                <w:szCs w:val="13"/>
                <w:color w:val="auto"/>
              </w:rPr>
              <w:t>151.65</w:t>
            </w:r>
          </w:p>
        </w:tc>
        <w:tc>
          <w:tcPr>
            <w:tcW w:w="1160" w:type="dxa"/>
            <w:vAlign w:val="bottom"/>
          </w:tcPr>
          <w:p>
            <w:pPr>
              <w:jc w:val="right"/>
              <w:ind w:right="274"/>
              <w:spacing w:after="0"/>
              <w:rPr>
                <w:sz w:val="20"/>
                <w:szCs w:val="20"/>
                <w:color w:val="auto"/>
              </w:rPr>
            </w:pPr>
            <w:r>
              <w:rPr>
                <w:rFonts w:ascii="Arial" w:cs="Arial" w:eastAsia="Arial" w:hAnsi="Arial"/>
                <w:sz w:val="13"/>
                <w:szCs w:val="13"/>
                <w:color w:val="auto"/>
              </w:rPr>
              <w:t>792.8</w:t>
            </w:r>
          </w:p>
        </w:tc>
        <w:tc>
          <w:tcPr>
            <w:tcW w:w="1400" w:type="dxa"/>
            <w:vAlign w:val="bottom"/>
          </w:tcPr>
          <w:p>
            <w:pPr>
              <w:jc w:val="center"/>
              <w:ind w:right="334"/>
              <w:spacing w:after="0"/>
              <w:rPr>
                <w:sz w:val="20"/>
                <w:szCs w:val="20"/>
                <w:color w:val="auto"/>
              </w:rPr>
            </w:pPr>
            <w:r>
              <w:rPr>
                <w:rFonts w:ascii="Arial" w:cs="Arial" w:eastAsia="Arial" w:hAnsi="Arial"/>
                <w:sz w:val="13"/>
                <w:szCs w:val="13"/>
                <w:color w:val="auto"/>
                <w:w w:val="97"/>
              </w:rPr>
              <w:t>23.9%</w:t>
            </w:r>
          </w:p>
        </w:tc>
        <w:tc>
          <w:tcPr>
            <w:tcW w:w="0" w:type="dxa"/>
            <w:vAlign w:val="bottom"/>
          </w:tcPr>
          <w:p>
            <w:pPr>
              <w:spacing w:after="0"/>
              <w:rPr>
                <w:sz w:val="1"/>
                <w:szCs w:val="1"/>
                <w:color w:val="auto"/>
              </w:rPr>
            </w:pPr>
          </w:p>
        </w:tc>
      </w:tr>
      <w:tr>
        <w:trPr>
          <w:trHeight w:val="157"/>
        </w:trPr>
        <w:tc>
          <w:tcPr>
            <w:tcW w:w="82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2021</w:t>
            </w:r>
          </w:p>
        </w:tc>
        <w:tc>
          <w:tcPr>
            <w:tcW w:w="142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7,185,569</w:t>
            </w:r>
          </w:p>
        </w:tc>
        <w:tc>
          <w:tcPr>
            <w:tcW w:w="13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4,639,595</w:t>
            </w:r>
          </w:p>
        </w:tc>
        <w:tc>
          <w:tcPr>
            <w:tcW w:w="136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2,906,827</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2,095,752</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91.08</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127.58</w:t>
            </w:r>
          </w:p>
        </w:tc>
        <w:tc>
          <w:tcPr>
            <w:tcW w:w="116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(275.4)</w:t>
            </w:r>
          </w:p>
        </w:tc>
        <w:tc>
          <w:tcPr>
            <w:tcW w:w="1400" w:type="dxa"/>
            <w:vAlign w:val="bottom"/>
            <w:tcBorders>
              <w:bottom w:val="single" w:sz="8" w:color="auto"/>
            </w:tcBorders>
          </w:tcPr>
          <w:p>
            <w:pPr>
              <w:jc w:val="center"/>
              <w:ind w:right="334"/>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00" w:hanging="300"/>
        <w:spacing w:after="0"/>
        <w:tabs>
          <w:tab w:leader="none" w:pos="3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PEO and Non-PEO NEOs for the applicable years were as follows:</w:t>
      </w:r>
    </w:p>
    <w:p>
      <w:pPr>
        <w:spacing w:after="0" w:line="15"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5"/>
          <w:szCs w:val="15"/>
          <w:color w:val="auto"/>
        </w:rPr>
        <w:t>2025 and 2024: Mr. Rountree served as PEO and Messrs. Caffrey, Harrison and Seelig and Ms. Hildreth served as Non-PEO NEOs</w:t>
      </w:r>
    </w:p>
    <w:p>
      <w:pPr>
        <w:spacing w:after="0" w:line="1"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5"/>
          <w:szCs w:val="15"/>
          <w:color w:val="auto"/>
        </w:rPr>
        <w:t>2023 and 2022: Mr. Rountree served as PEO and Messrs. Caffrey, Campbell and Seelig and Ms. Hildreth served as Non-PEO NEOs</w:t>
      </w:r>
    </w:p>
    <w:p>
      <w:pPr>
        <w:spacing w:after="0" w:line="1"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5"/>
          <w:szCs w:val="15"/>
          <w:color w:val="auto"/>
        </w:rPr>
        <w:t>2021: Mr. Rountree served as PEO and Messrs. Frank Bazos, Campbell and Seelig and Ms. Hildreth served as Non-PEO NEOs</w:t>
      </w:r>
    </w:p>
    <w:p>
      <w:pPr>
        <w:spacing w:after="0" w:line="186" w:lineRule="exact"/>
        <w:rPr>
          <w:rFonts w:ascii="Arial" w:cs="Arial" w:eastAsia="Arial" w:hAnsi="Arial"/>
          <w:sz w:val="15"/>
          <w:szCs w:val="15"/>
          <w:color w:val="auto"/>
        </w:rPr>
      </w:pPr>
    </w:p>
    <w:p>
      <w:pPr>
        <w:ind w:left="300" w:right="520" w:hanging="300"/>
        <w:spacing w:after="0" w:line="250" w:lineRule="auto"/>
        <w:tabs>
          <w:tab w:leader="none" w:pos="300" w:val="left"/>
        </w:tabs>
        <w:numPr>
          <w:ilvl w:val="0"/>
          <w:numId w:val="31"/>
        </w:numPr>
        <w:rPr>
          <w:rFonts w:ascii="Arial" w:cs="Arial" w:eastAsia="Arial" w:hAnsi="Arial"/>
          <w:sz w:val="13"/>
          <w:szCs w:val="13"/>
          <w:color w:val="auto"/>
        </w:rPr>
      </w:pPr>
      <w:r>
        <w:rPr>
          <w:rFonts w:ascii="Arial" w:cs="Arial" w:eastAsia="Arial" w:hAnsi="Arial"/>
          <w:sz w:val="15"/>
          <w:szCs w:val="15"/>
          <w:color w:val="auto"/>
        </w:rPr>
        <w:t>The amounts reported as “Compensation Actually Paid” to our PEO and “Average Compensation Actually Paid” to our Non-PEO NEOs in each of 2025, 2024, 2023, 2022 and 2021 represent the respective amounts as determined in accordance with Item 402(v) of Regulation S-K. The amounts do not reflect the actual amount of compensation earned by or paid to our PEO or Non-PEO NEOs during the applicable year. The Summary Compensation Table totals reported for the PEO and the average of the Non-PEO NEOs for each year were subject to the following adjustments per Item 402(v)(2)(iii) of Regulation S-K to calculate “Compensation Actually Paid”:</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5"/>
          <w:szCs w:val="15"/>
          <w:color w:val="auto"/>
        </w:rPr>
        <w:t>PEO</w:t>
      </w:r>
    </w:p>
    <w:p>
      <w:pPr>
        <w:spacing w:after="0" w:line="14" w:lineRule="exact"/>
        <w:rPr>
          <w:sz w:val="20"/>
          <w:szCs w:val="20"/>
          <w:color w:val="auto"/>
        </w:rPr>
      </w:pPr>
    </w:p>
    <w:tbl>
      <w:tblPr>
        <w:tblLayout w:type="fixed"/>
        <w:tblInd w:w="400" w:type="dxa"/>
        <w:tblCellMar>
          <w:top w:w="0" w:type="dxa"/>
          <w:left w:w="0" w:type="dxa"/>
          <w:bottom w:w="0" w:type="dxa"/>
          <w:right w:w="0" w:type="dxa"/>
        </w:tblCellMar>
      </w:tblPr>
      <w:tr>
        <w:trPr>
          <w:trHeight w:val="179"/>
        </w:trPr>
        <w:tc>
          <w:tcPr>
            <w:tcW w:w="3860" w:type="dxa"/>
            <w:vAlign w:val="bottom"/>
            <w:tcBorders>
              <w:top w:val="single" w:sz="8" w:color="auto"/>
              <w:bottom w:val="single" w:sz="8" w:color="auto"/>
            </w:tcBorders>
          </w:tcPr>
          <w:p>
            <w:pPr>
              <w:spacing w:after="0"/>
              <w:rPr>
                <w:sz w:val="15"/>
                <w:szCs w:val="15"/>
                <w:color w:val="auto"/>
              </w:rPr>
            </w:pPr>
          </w:p>
        </w:tc>
        <w:tc>
          <w:tcPr>
            <w:tcW w:w="15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3"/>
                <w:szCs w:val="13"/>
                <w:color w:val="auto"/>
              </w:rPr>
              <w:t>2025</w:t>
            </w:r>
          </w:p>
        </w:tc>
        <w:tc>
          <w:tcPr>
            <w:tcW w:w="132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3"/>
                <w:szCs w:val="13"/>
                <w:color w:val="auto"/>
              </w:rPr>
              <w:t>2024</w:t>
            </w:r>
          </w:p>
        </w:tc>
        <w:tc>
          <w:tcPr>
            <w:tcW w:w="138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3"/>
                <w:szCs w:val="13"/>
                <w:color w:val="auto"/>
              </w:rPr>
              <w:t>2023</w:t>
            </w: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3"/>
                <w:szCs w:val="13"/>
                <w:color w:val="auto"/>
              </w:rPr>
              <w:t>2022</w:t>
            </w:r>
          </w:p>
        </w:tc>
        <w:tc>
          <w:tcPr>
            <w:tcW w:w="11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3"/>
                <w:szCs w:val="13"/>
                <w:color w:val="auto"/>
              </w:rPr>
              <w:t>2021</w:t>
            </w:r>
          </w:p>
        </w:tc>
      </w:tr>
      <w:tr>
        <w:trPr>
          <w:trHeight w:val="271"/>
        </w:trPr>
        <w:tc>
          <w:tcPr>
            <w:tcW w:w="3860" w:type="dxa"/>
            <w:vAlign w:val="bottom"/>
          </w:tcPr>
          <w:p>
            <w:pPr>
              <w:ind w:left="80"/>
              <w:spacing w:after="0"/>
              <w:rPr>
                <w:sz w:val="20"/>
                <w:szCs w:val="20"/>
                <w:color w:val="auto"/>
              </w:rPr>
            </w:pPr>
            <w:r>
              <w:rPr>
                <w:rFonts w:ascii="Arial" w:cs="Arial" w:eastAsia="Arial" w:hAnsi="Arial"/>
                <w:sz w:val="13"/>
                <w:szCs w:val="13"/>
                <w:color w:val="auto"/>
              </w:rPr>
              <w:t>Summary Compensation Table (“SCT”) total</w:t>
            </w:r>
          </w:p>
        </w:tc>
        <w:tc>
          <w:tcPr>
            <w:tcW w:w="1540" w:type="dxa"/>
            <w:vAlign w:val="bottom"/>
          </w:tcPr>
          <w:p>
            <w:pPr>
              <w:jc w:val="right"/>
              <w:ind w:right="174"/>
              <w:spacing w:after="0"/>
              <w:rPr>
                <w:sz w:val="20"/>
                <w:szCs w:val="20"/>
                <w:color w:val="auto"/>
              </w:rPr>
            </w:pPr>
            <w:r>
              <w:rPr>
                <w:rFonts w:ascii="Arial" w:cs="Arial" w:eastAsia="Arial" w:hAnsi="Arial"/>
                <w:sz w:val="13"/>
                <w:szCs w:val="13"/>
                <w:color w:val="auto"/>
              </w:rPr>
              <w:t>8,064,309</w:t>
            </w:r>
          </w:p>
        </w:tc>
        <w:tc>
          <w:tcPr>
            <w:tcW w:w="1320" w:type="dxa"/>
            <w:vAlign w:val="bottom"/>
          </w:tcPr>
          <w:p>
            <w:pPr>
              <w:jc w:val="right"/>
              <w:ind w:right="354"/>
              <w:spacing w:after="0"/>
              <w:rPr>
                <w:sz w:val="20"/>
                <w:szCs w:val="20"/>
                <w:color w:val="auto"/>
              </w:rPr>
            </w:pPr>
            <w:r>
              <w:rPr>
                <w:rFonts w:ascii="Arial" w:cs="Arial" w:eastAsia="Arial" w:hAnsi="Arial"/>
                <w:sz w:val="13"/>
                <w:szCs w:val="13"/>
                <w:color w:val="auto"/>
              </w:rPr>
              <w:t>7,422,958</w:t>
            </w:r>
          </w:p>
        </w:tc>
        <w:tc>
          <w:tcPr>
            <w:tcW w:w="1380" w:type="dxa"/>
            <w:vAlign w:val="bottom"/>
          </w:tcPr>
          <w:p>
            <w:pPr>
              <w:jc w:val="right"/>
              <w:ind w:right="214"/>
              <w:spacing w:after="0"/>
              <w:rPr>
                <w:sz w:val="20"/>
                <w:szCs w:val="20"/>
                <w:color w:val="auto"/>
              </w:rPr>
            </w:pPr>
            <w:r>
              <w:rPr>
                <w:rFonts w:ascii="Arial" w:cs="Arial" w:eastAsia="Arial" w:hAnsi="Arial"/>
                <w:sz w:val="13"/>
                <w:szCs w:val="13"/>
                <w:color w:val="auto"/>
              </w:rPr>
              <w:t>7,577,001</w:t>
            </w:r>
          </w:p>
        </w:tc>
        <w:tc>
          <w:tcPr>
            <w:tcW w:w="1220" w:type="dxa"/>
            <w:vAlign w:val="bottom"/>
          </w:tcPr>
          <w:p>
            <w:pPr>
              <w:jc w:val="right"/>
              <w:ind w:right="174"/>
              <w:spacing w:after="0"/>
              <w:rPr>
                <w:sz w:val="20"/>
                <w:szCs w:val="20"/>
                <w:color w:val="auto"/>
              </w:rPr>
            </w:pPr>
            <w:r>
              <w:rPr>
                <w:rFonts w:ascii="Arial" w:cs="Arial" w:eastAsia="Arial" w:hAnsi="Arial"/>
                <w:sz w:val="13"/>
                <w:szCs w:val="13"/>
                <w:color w:val="auto"/>
              </w:rPr>
              <w:t>7,191,754</w:t>
            </w:r>
          </w:p>
        </w:tc>
        <w:tc>
          <w:tcPr>
            <w:tcW w:w="1140" w:type="dxa"/>
            <w:vAlign w:val="bottom"/>
          </w:tcPr>
          <w:p>
            <w:pPr>
              <w:jc w:val="right"/>
              <w:ind w:right="154"/>
              <w:spacing w:after="0"/>
              <w:rPr>
                <w:sz w:val="20"/>
                <w:szCs w:val="20"/>
                <w:color w:val="auto"/>
              </w:rPr>
            </w:pPr>
            <w:r>
              <w:rPr>
                <w:rFonts w:ascii="Arial" w:cs="Arial" w:eastAsia="Arial" w:hAnsi="Arial"/>
                <w:sz w:val="13"/>
                <w:szCs w:val="13"/>
                <w:color w:val="auto"/>
              </w:rPr>
              <w:t>7,185,569</w:t>
            </w:r>
          </w:p>
        </w:tc>
      </w:tr>
      <w:tr>
        <w:trPr>
          <w:trHeight w:val="261"/>
        </w:trPr>
        <w:tc>
          <w:tcPr>
            <w:tcW w:w="3860" w:type="dxa"/>
            <w:vAlign w:val="bottom"/>
          </w:tcPr>
          <w:p>
            <w:pPr>
              <w:ind w:left="80"/>
              <w:spacing w:after="0"/>
              <w:rPr>
                <w:sz w:val="20"/>
                <w:szCs w:val="20"/>
                <w:color w:val="auto"/>
              </w:rPr>
            </w:pPr>
            <w:r>
              <w:rPr>
                <w:rFonts w:ascii="Arial" w:cs="Arial" w:eastAsia="Arial" w:hAnsi="Arial"/>
                <w:sz w:val="13"/>
                <w:szCs w:val="13"/>
                <w:color w:val="auto"/>
              </w:rPr>
              <w:t>Less: Value Reported in the SCT of Stock Awards</w:t>
            </w:r>
          </w:p>
        </w:tc>
        <w:tc>
          <w:tcPr>
            <w:tcW w:w="1540" w:type="dxa"/>
            <w:vAlign w:val="bottom"/>
          </w:tcPr>
          <w:p>
            <w:pPr>
              <w:jc w:val="right"/>
              <w:ind w:right="174"/>
              <w:spacing w:after="0"/>
              <w:rPr>
                <w:sz w:val="20"/>
                <w:szCs w:val="20"/>
                <w:color w:val="auto"/>
              </w:rPr>
            </w:pPr>
            <w:r>
              <w:rPr>
                <w:rFonts w:ascii="Arial" w:cs="Arial" w:eastAsia="Arial" w:hAnsi="Arial"/>
                <w:sz w:val="13"/>
                <w:szCs w:val="13"/>
                <w:color w:val="auto"/>
              </w:rPr>
              <w:t>(5,954,618)</w:t>
            </w:r>
          </w:p>
        </w:tc>
        <w:tc>
          <w:tcPr>
            <w:tcW w:w="1320" w:type="dxa"/>
            <w:vAlign w:val="bottom"/>
          </w:tcPr>
          <w:p>
            <w:pPr>
              <w:jc w:val="right"/>
              <w:ind w:right="354"/>
              <w:spacing w:after="0"/>
              <w:rPr>
                <w:sz w:val="20"/>
                <w:szCs w:val="20"/>
                <w:color w:val="auto"/>
              </w:rPr>
            </w:pPr>
            <w:r>
              <w:rPr>
                <w:rFonts w:ascii="Arial" w:cs="Arial" w:eastAsia="Arial" w:hAnsi="Arial"/>
                <w:sz w:val="13"/>
                <w:szCs w:val="13"/>
                <w:color w:val="auto"/>
              </w:rPr>
              <w:t>(6,352,596)</w:t>
            </w:r>
          </w:p>
        </w:tc>
        <w:tc>
          <w:tcPr>
            <w:tcW w:w="1380" w:type="dxa"/>
            <w:vAlign w:val="bottom"/>
          </w:tcPr>
          <w:p>
            <w:pPr>
              <w:jc w:val="right"/>
              <w:ind w:right="214"/>
              <w:spacing w:after="0"/>
              <w:rPr>
                <w:sz w:val="20"/>
                <w:szCs w:val="20"/>
                <w:color w:val="auto"/>
              </w:rPr>
            </w:pPr>
            <w:r>
              <w:rPr>
                <w:rFonts w:ascii="Arial" w:cs="Arial" w:eastAsia="Arial" w:hAnsi="Arial"/>
                <w:sz w:val="13"/>
                <w:szCs w:val="13"/>
                <w:color w:val="auto"/>
              </w:rPr>
              <w:t>(5,872,920)</w:t>
            </w:r>
          </w:p>
        </w:tc>
        <w:tc>
          <w:tcPr>
            <w:tcW w:w="1220" w:type="dxa"/>
            <w:vAlign w:val="bottom"/>
          </w:tcPr>
          <w:p>
            <w:pPr>
              <w:jc w:val="right"/>
              <w:ind w:right="174"/>
              <w:spacing w:after="0"/>
              <w:rPr>
                <w:sz w:val="20"/>
                <w:szCs w:val="20"/>
                <w:color w:val="auto"/>
              </w:rPr>
            </w:pPr>
            <w:r>
              <w:rPr>
                <w:rFonts w:ascii="Arial" w:cs="Arial" w:eastAsia="Arial" w:hAnsi="Arial"/>
                <w:sz w:val="13"/>
                <w:szCs w:val="13"/>
                <w:color w:val="auto"/>
              </w:rPr>
              <w:t>(5,604,282)</w:t>
            </w:r>
          </w:p>
        </w:tc>
        <w:tc>
          <w:tcPr>
            <w:tcW w:w="1140" w:type="dxa"/>
            <w:vAlign w:val="bottom"/>
          </w:tcPr>
          <w:p>
            <w:pPr>
              <w:jc w:val="right"/>
              <w:ind w:right="154"/>
              <w:spacing w:after="0"/>
              <w:rPr>
                <w:sz w:val="20"/>
                <w:szCs w:val="20"/>
                <w:color w:val="auto"/>
              </w:rPr>
            </w:pPr>
            <w:r>
              <w:rPr>
                <w:rFonts w:ascii="Arial" w:cs="Arial" w:eastAsia="Arial" w:hAnsi="Arial"/>
                <w:sz w:val="13"/>
                <w:szCs w:val="13"/>
                <w:color w:val="auto"/>
              </w:rPr>
              <w:t>(6,478,434)</w:t>
            </w:r>
          </w:p>
        </w:tc>
      </w:tr>
      <w:tr>
        <w:trPr>
          <w:trHeight w:val="187"/>
        </w:trPr>
        <w:tc>
          <w:tcPr>
            <w:tcW w:w="3860" w:type="dxa"/>
            <w:vAlign w:val="bottom"/>
          </w:tcPr>
          <w:p>
            <w:pPr>
              <w:ind w:left="80"/>
              <w:spacing w:after="0"/>
              <w:rPr>
                <w:sz w:val="20"/>
                <w:szCs w:val="20"/>
                <w:color w:val="auto"/>
              </w:rPr>
            </w:pPr>
            <w:r>
              <w:rPr>
                <w:rFonts w:ascii="Arial" w:cs="Arial" w:eastAsia="Arial" w:hAnsi="Arial"/>
                <w:sz w:val="13"/>
                <w:szCs w:val="13"/>
                <w:color w:val="auto"/>
              </w:rPr>
              <w:t>Granted in the Covered Year</w:t>
            </w:r>
          </w:p>
        </w:tc>
        <w:tc>
          <w:tcPr>
            <w:tcW w:w="1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1"/>
        </w:trPr>
        <w:tc>
          <w:tcPr>
            <w:tcW w:w="3860" w:type="dxa"/>
            <w:vAlign w:val="bottom"/>
          </w:tcPr>
          <w:p>
            <w:pPr>
              <w:ind w:left="80"/>
              <w:spacing w:after="0"/>
              <w:rPr>
                <w:sz w:val="20"/>
                <w:szCs w:val="20"/>
                <w:color w:val="auto"/>
              </w:rPr>
            </w:pPr>
            <w:r>
              <w:rPr>
                <w:rFonts w:ascii="Arial" w:cs="Arial" w:eastAsia="Arial" w:hAnsi="Arial"/>
                <w:sz w:val="13"/>
                <w:szCs w:val="13"/>
                <w:color w:val="auto"/>
              </w:rPr>
              <w:t>Plus: Year-end Value for Stock Awards</w:t>
            </w:r>
          </w:p>
        </w:tc>
        <w:tc>
          <w:tcPr>
            <w:tcW w:w="1540" w:type="dxa"/>
            <w:vAlign w:val="bottom"/>
          </w:tcPr>
          <w:p>
            <w:pPr>
              <w:jc w:val="right"/>
              <w:ind w:right="174"/>
              <w:spacing w:after="0"/>
              <w:rPr>
                <w:sz w:val="20"/>
                <w:szCs w:val="20"/>
                <w:color w:val="auto"/>
              </w:rPr>
            </w:pPr>
            <w:r>
              <w:rPr>
                <w:rFonts w:ascii="Arial" w:cs="Arial" w:eastAsia="Arial" w:hAnsi="Arial"/>
                <w:sz w:val="13"/>
                <w:szCs w:val="13"/>
                <w:color w:val="auto"/>
              </w:rPr>
              <w:t>8,613,356</w:t>
            </w:r>
          </w:p>
        </w:tc>
        <w:tc>
          <w:tcPr>
            <w:tcW w:w="1320" w:type="dxa"/>
            <w:vAlign w:val="bottom"/>
          </w:tcPr>
          <w:p>
            <w:pPr>
              <w:jc w:val="right"/>
              <w:ind w:right="354"/>
              <w:spacing w:after="0"/>
              <w:rPr>
                <w:sz w:val="20"/>
                <w:szCs w:val="20"/>
                <w:color w:val="auto"/>
              </w:rPr>
            </w:pPr>
            <w:r>
              <w:rPr>
                <w:rFonts w:ascii="Arial" w:cs="Arial" w:eastAsia="Arial" w:hAnsi="Arial"/>
                <w:sz w:val="13"/>
                <w:szCs w:val="13"/>
                <w:color w:val="auto"/>
              </w:rPr>
              <w:t>7,004,016</w:t>
            </w:r>
          </w:p>
        </w:tc>
        <w:tc>
          <w:tcPr>
            <w:tcW w:w="1380" w:type="dxa"/>
            <w:vAlign w:val="bottom"/>
          </w:tcPr>
          <w:p>
            <w:pPr>
              <w:jc w:val="right"/>
              <w:ind w:right="214"/>
              <w:spacing w:after="0"/>
              <w:rPr>
                <w:sz w:val="20"/>
                <w:szCs w:val="20"/>
                <w:color w:val="auto"/>
              </w:rPr>
            </w:pPr>
            <w:r>
              <w:rPr>
                <w:rFonts w:ascii="Arial" w:cs="Arial" w:eastAsia="Arial" w:hAnsi="Arial"/>
                <w:sz w:val="13"/>
                <w:szCs w:val="13"/>
                <w:color w:val="auto"/>
              </w:rPr>
              <w:t>6,775,045</w:t>
            </w:r>
          </w:p>
        </w:tc>
        <w:tc>
          <w:tcPr>
            <w:tcW w:w="1220" w:type="dxa"/>
            <w:vAlign w:val="bottom"/>
          </w:tcPr>
          <w:p>
            <w:pPr>
              <w:jc w:val="right"/>
              <w:ind w:right="174"/>
              <w:spacing w:after="0"/>
              <w:rPr>
                <w:sz w:val="20"/>
                <w:szCs w:val="20"/>
                <w:color w:val="auto"/>
              </w:rPr>
            </w:pPr>
            <w:r>
              <w:rPr>
                <w:rFonts w:ascii="Arial" w:cs="Arial" w:eastAsia="Arial" w:hAnsi="Arial"/>
                <w:sz w:val="13"/>
                <w:szCs w:val="13"/>
                <w:color w:val="auto"/>
              </w:rPr>
              <w:t>11,461,473</w:t>
            </w:r>
          </w:p>
        </w:tc>
        <w:tc>
          <w:tcPr>
            <w:tcW w:w="1140" w:type="dxa"/>
            <w:vAlign w:val="bottom"/>
          </w:tcPr>
          <w:p>
            <w:pPr>
              <w:jc w:val="right"/>
              <w:ind w:right="154"/>
              <w:spacing w:after="0"/>
              <w:rPr>
                <w:sz w:val="20"/>
                <w:szCs w:val="20"/>
                <w:color w:val="auto"/>
              </w:rPr>
            </w:pPr>
            <w:r>
              <w:rPr>
                <w:rFonts w:ascii="Arial" w:cs="Arial" w:eastAsia="Arial" w:hAnsi="Arial"/>
                <w:sz w:val="13"/>
                <w:szCs w:val="13"/>
                <w:color w:val="auto"/>
              </w:rPr>
              <w:t>4,107,645</w:t>
            </w:r>
          </w:p>
        </w:tc>
      </w:tr>
      <w:tr>
        <w:trPr>
          <w:trHeight w:val="187"/>
        </w:trPr>
        <w:tc>
          <w:tcPr>
            <w:tcW w:w="3860" w:type="dxa"/>
            <w:vAlign w:val="bottom"/>
          </w:tcPr>
          <w:p>
            <w:pPr>
              <w:ind w:left="80"/>
              <w:spacing w:after="0"/>
              <w:rPr>
                <w:sz w:val="20"/>
                <w:szCs w:val="20"/>
                <w:color w:val="auto"/>
              </w:rPr>
            </w:pPr>
            <w:r>
              <w:rPr>
                <w:rFonts w:ascii="Arial" w:cs="Arial" w:eastAsia="Arial" w:hAnsi="Arial"/>
                <w:sz w:val="13"/>
                <w:szCs w:val="13"/>
                <w:color w:val="auto"/>
              </w:rPr>
              <w:t>Granted in the Covered Year</w:t>
            </w:r>
          </w:p>
        </w:tc>
        <w:tc>
          <w:tcPr>
            <w:tcW w:w="1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1"/>
        </w:trPr>
        <w:tc>
          <w:tcPr>
            <w:tcW w:w="3860" w:type="dxa"/>
            <w:vAlign w:val="bottom"/>
          </w:tcPr>
          <w:p>
            <w:pPr>
              <w:ind w:left="80"/>
              <w:spacing w:after="0"/>
              <w:rPr>
                <w:sz w:val="20"/>
                <w:szCs w:val="20"/>
                <w:color w:val="auto"/>
              </w:rPr>
            </w:pPr>
            <w:r>
              <w:rPr>
                <w:rFonts w:ascii="Arial" w:cs="Arial" w:eastAsia="Arial" w:hAnsi="Arial"/>
                <w:sz w:val="13"/>
                <w:szCs w:val="13"/>
                <w:color w:val="auto"/>
              </w:rPr>
              <w:t>Change in Fair Value of Unvested Stock</w:t>
            </w:r>
          </w:p>
        </w:tc>
        <w:tc>
          <w:tcPr>
            <w:tcW w:w="1540" w:type="dxa"/>
            <w:vAlign w:val="bottom"/>
          </w:tcPr>
          <w:p>
            <w:pPr>
              <w:jc w:val="right"/>
              <w:ind w:right="174"/>
              <w:spacing w:after="0"/>
              <w:rPr>
                <w:sz w:val="20"/>
                <w:szCs w:val="20"/>
                <w:color w:val="auto"/>
              </w:rPr>
            </w:pPr>
            <w:r>
              <w:rPr>
                <w:rFonts w:ascii="Arial" w:cs="Arial" w:eastAsia="Arial" w:hAnsi="Arial"/>
                <w:sz w:val="13"/>
                <w:szCs w:val="13"/>
                <w:color w:val="auto"/>
              </w:rPr>
              <w:t>6,146,203</w:t>
            </w:r>
          </w:p>
        </w:tc>
        <w:tc>
          <w:tcPr>
            <w:tcW w:w="1320" w:type="dxa"/>
            <w:vAlign w:val="bottom"/>
          </w:tcPr>
          <w:p>
            <w:pPr>
              <w:jc w:val="right"/>
              <w:ind w:right="354"/>
              <w:spacing w:after="0"/>
              <w:rPr>
                <w:sz w:val="20"/>
                <w:szCs w:val="20"/>
                <w:color w:val="auto"/>
              </w:rPr>
            </w:pPr>
            <w:r>
              <w:rPr>
                <w:rFonts w:ascii="Arial" w:cs="Arial" w:eastAsia="Arial" w:hAnsi="Arial"/>
                <w:sz w:val="13"/>
                <w:szCs w:val="13"/>
                <w:color w:val="auto"/>
              </w:rPr>
              <w:t>4,766,206</w:t>
            </w:r>
          </w:p>
        </w:tc>
        <w:tc>
          <w:tcPr>
            <w:tcW w:w="1380" w:type="dxa"/>
            <w:vAlign w:val="bottom"/>
          </w:tcPr>
          <w:p>
            <w:pPr>
              <w:jc w:val="right"/>
              <w:ind w:right="214"/>
              <w:spacing w:after="0"/>
              <w:rPr>
                <w:sz w:val="20"/>
                <w:szCs w:val="20"/>
                <w:color w:val="auto"/>
              </w:rPr>
            </w:pPr>
            <w:r>
              <w:rPr>
                <w:rFonts w:ascii="Arial" w:cs="Arial" w:eastAsia="Arial" w:hAnsi="Arial"/>
                <w:sz w:val="13"/>
                <w:szCs w:val="13"/>
                <w:color w:val="auto"/>
              </w:rPr>
              <w:t>2,602,290</w:t>
            </w:r>
          </w:p>
        </w:tc>
        <w:tc>
          <w:tcPr>
            <w:tcW w:w="1220" w:type="dxa"/>
            <w:vAlign w:val="bottom"/>
          </w:tcPr>
          <w:p>
            <w:pPr>
              <w:jc w:val="right"/>
              <w:ind w:right="174"/>
              <w:spacing w:after="0"/>
              <w:rPr>
                <w:sz w:val="20"/>
                <w:szCs w:val="20"/>
                <w:color w:val="auto"/>
              </w:rPr>
            </w:pPr>
            <w:r>
              <w:rPr>
                <w:rFonts w:ascii="Arial" w:cs="Arial" w:eastAsia="Arial" w:hAnsi="Arial"/>
                <w:sz w:val="13"/>
                <w:szCs w:val="13"/>
                <w:color w:val="auto"/>
              </w:rPr>
              <w:t>9,901,354</w:t>
            </w:r>
          </w:p>
        </w:tc>
        <w:tc>
          <w:tcPr>
            <w:tcW w:w="1140" w:type="dxa"/>
            <w:vAlign w:val="bottom"/>
          </w:tcPr>
          <w:p>
            <w:pPr>
              <w:jc w:val="right"/>
              <w:ind w:right="154"/>
              <w:spacing w:after="0"/>
              <w:rPr>
                <w:sz w:val="20"/>
                <w:szCs w:val="20"/>
                <w:color w:val="auto"/>
              </w:rPr>
            </w:pPr>
            <w:r>
              <w:rPr>
                <w:rFonts w:ascii="Arial" w:cs="Arial" w:eastAsia="Arial" w:hAnsi="Arial"/>
                <w:sz w:val="13"/>
                <w:szCs w:val="13"/>
                <w:color w:val="auto"/>
              </w:rPr>
              <w:t>(1,500,285)</w:t>
            </w:r>
          </w:p>
        </w:tc>
      </w:tr>
      <w:tr>
        <w:trPr>
          <w:trHeight w:val="187"/>
        </w:trPr>
        <w:tc>
          <w:tcPr>
            <w:tcW w:w="3860" w:type="dxa"/>
            <w:vAlign w:val="bottom"/>
          </w:tcPr>
          <w:p>
            <w:pPr>
              <w:ind w:left="80"/>
              <w:spacing w:after="0"/>
              <w:rPr>
                <w:sz w:val="20"/>
                <w:szCs w:val="20"/>
                <w:color w:val="auto"/>
              </w:rPr>
            </w:pPr>
            <w:r>
              <w:rPr>
                <w:rFonts w:ascii="Arial" w:cs="Arial" w:eastAsia="Arial" w:hAnsi="Arial"/>
                <w:sz w:val="13"/>
                <w:szCs w:val="13"/>
                <w:color w:val="auto"/>
              </w:rPr>
              <w:t>Awards from Prior Years that Remain Unvested</w:t>
            </w:r>
          </w:p>
        </w:tc>
        <w:tc>
          <w:tcPr>
            <w:tcW w:w="1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1"/>
        </w:trPr>
        <w:tc>
          <w:tcPr>
            <w:tcW w:w="3860" w:type="dxa"/>
            <w:vAlign w:val="bottom"/>
          </w:tcPr>
          <w:p>
            <w:pPr>
              <w:ind w:left="80"/>
              <w:spacing w:after="0"/>
              <w:rPr>
                <w:sz w:val="20"/>
                <w:szCs w:val="20"/>
                <w:color w:val="auto"/>
              </w:rPr>
            </w:pPr>
            <w:r>
              <w:rPr>
                <w:rFonts w:ascii="Arial" w:cs="Arial" w:eastAsia="Arial" w:hAnsi="Arial"/>
                <w:sz w:val="13"/>
                <w:szCs w:val="13"/>
                <w:color w:val="auto"/>
              </w:rPr>
              <w:t>Change in Fair Value of Stock Awards</w:t>
            </w:r>
          </w:p>
        </w:tc>
        <w:tc>
          <w:tcPr>
            <w:tcW w:w="1540" w:type="dxa"/>
            <w:vAlign w:val="bottom"/>
          </w:tcPr>
          <w:p>
            <w:pPr>
              <w:jc w:val="right"/>
              <w:ind w:right="174"/>
              <w:spacing w:after="0"/>
              <w:rPr>
                <w:sz w:val="20"/>
                <w:szCs w:val="20"/>
                <w:color w:val="auto"/>
              </w:rPr>
            </w:pPr>
            <w:r>
              <w:rPr>
                <w:rFonts w:ascii="Arial" w:cs="Arial" w:eastAsia="Arial" w:hAnsi="Arial"/>
                <w:sz w:val="13"/>
                <w:szCs w:val="13"/>
                <w:color w:val="auto"/>
              </w:rPr>
              <w:t>(538,812)</w:t>
            </w:r>
          </w:p>
        </w:tc>
        <w:tc>
          <w:tcPr>
            <w:tcW w:w="1320" w:type="dxa"/>
            <w:vAlign w:val="bottom"/>
          </w:tcPr>
          <w:p>
            <w:pPr>
              <w:jc w:val="right"/>
              <w:ind w:right="354"/>
              <w:spacing w:after="0"/>
              <w:rPr>
                <w:sz w:val="20"/>
                <w:szCs w:val="20"/>
                <w:color w:val="auto"/>
              </w:rPr>
            </w:pPr>
            <w:r>
              <w:rPr>
                <w:rFonts w:ascii="Arial" w:cs="Arial" w:eastAsia="Arial" w:hAnsi="Arial"/>
                <w:sz w:val="13"/>
                <w:szCs w:val="13"/>
                <w:color w:val="auto"/>
              </w:rPr>
              <w:t>1,260,408</w:t>
            </w:r>
          </w:p>
        </w:tc>
        <w:tc>
          <w:tcPr>
            <w:tcW w:w="1380" w:type="dxa"/>
            <w:vAlign w:val="bottom"/>
          </w:tcPr>
          <w:p>
            <w:pPr>
              <w:jc w:val="right"/>
              <w:ind w:right="214"/>
              <w:spacing w:after="0"/>
              <w:rPr>
                <w:sz w:val="20"/>
                <w:szCs w:val="20"/>
                <w:color w:val="auto"/>
              </w:rPr>
            </w:pPr>
            <w:r>
              <w:rPr>
                <w:rFonts w:ascii="Arial" w:cs="Arial" w:eastAsia="Arial" w:hAnsi="Arial"/>
                <w:sz w:val="13"/>
                <w:szCs w:val="13"/>
                <w:color w:val="auto"/>
              </w:rPr>
              <w:t>598,806</w:t>
            </w:r>
          </w:p>
        </w:tc>
        <w:tc>
          <w:tcPr>
            <w:tcW w:w="1220" w:type="dxa"/>
            <w:vAlign w:val="bottom"/>
          </w:tcPr>
          <w:p>
            <w:pPr>
              <w:jc w:val="right"/>
              <w:ind w:right="174"/>
              <w:spacing w:after="0"/>
              <w:rPr>
                <w:sz w:val="20"/>
                <w:szCs w:val="20"/>
                <w:color w:val="auto"/>
              </w:rPr>
            </w:pPr>
            <w:r>
              <w:rPr>
                <w:rFonts w:ascii="Arial" w:cs="Arial" w:eastAsia="Arial" w:hAnsi="Arial"/>
                <w:sz w:val="13"/>
                <w:szCs w:val="13"/>
                <w:color w:val="auto"/>
              </w:rPr>
              <w:t>197,341</w:t>
            </w:r>
          </w:p>
        </w:tc>
        <w:tc>
          <w:tcPr>
            <w:tcW w:w="1140" w:type="dxa"/>
            <w:vAlign w:val="bottom"/>
          </w:tcPr>
          <w:p>
            <w:pPr>
              <w:jc w:val="right"/>
              <w:ind w:right="154"/>
              <w:spacing w:after="0"/>
              <w:rPr>
                <w:sz w:val="20"/>
                <w:szCs w:val="20"/>
                <w:color w:val="auto"/>
              </w:rPr>
            </w:pPr>
            <w:r>
              <w:rPr>
                <w:rFonts w:ascii="Arial" w:cs="Arial" w:eastAsia="Arial" w:hAnsi="Arial"/>
                <w:sz w:val="13"/>
                <w:szCs w:val="13"/>
                <w:color w:val="auto"/>
              </w:rPr>
              <w:t>1,325,100</w:t>
            </w:r>
          </w:p>
        </w:tc>
      </w:tr>
      <w:tr>
        <w:trPr>
          <w:trHeight w:val="170"/>
        </w:trPr>
        <w:tc>
          <w:tcPr>
            <w:tcW w:w="3860" w:type="dxa"/>
            <w:vAlign w:val="bottom"/>
          </w:tcPr>
          <w:p>
            <w:pPr>
              <w:ind w:left="80"/>
              <w:spacing w:after="0"/>
              <w:rPr>
                <w:sz w:val="20"/>
                <w:szCs w:val="20"/>
                <w:color w:val="auto"/>
              </w:rPr>
            </w:pPr>
            <w:r>
              <w:rPr>
                <w:rFonts w:ascii="Arial" w:cs="Arial" w:eastAsia="Arial" w:hAnsi="Arial"/>
                <w:sz w:val="13"/>
                <w:szCs w:val="13"/>
                <w:color w:val="auto"/>
              </w:rPr>
              <w:t>from Prior Years that Vested in Covered Year</w:t>
            </w:r>
          </w:p>
        </w:tc>
        <w:tc>
          <w:tcPr>
            <w:tcW w:w="15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254"/>
        </w:trPr>
        <w:tc>
          <w:tcPr>
            <w:tcW w:w="386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Compensation Actually Paid</w:t>
            </w:r>
          </w:p>
        </w:tc>
        <w:tc>
          <w:tcPr>
            <w:tcW w:w="154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color w:val="auto"/>
              </w:rPr>
              <w:t>16,330,438</w:t>
            </w:r>
          </w:p>
        </w:tc>
        <w:tc>
          <w:tcPr>
            <w:tcW w:w="1320" w:type="dxa"/>
            <w:vAlign w:val="bottom"/>
            <w:tcBorders>
              <w:bottom w:val="single" w:sz="8" w:color="auto"/>
            </w:tcBorders>
          </w:tcPr>
          <w:p>
            <w:pPr>
              <w:jc w:val="right"/>
              <w:ind w:right="354"/>
              <w:spacing w:after="0"/>
              <w:rPr>
                <w:sz w:val="20"/>
                <w:szCs w:val="20"/>
                <w:color w:val="auto"/>
              </w:rPr>
            </w:pPr>
            <w:r>
              <w:rPr>
                <w:rFonts w:ascii="Arial" w:cs="Arial" w:eastAsia="Arial" w:hAnsi="Arial"/>
                <w:sz w:val="13"/>
                <w:szCs w:val="13"/>
                <w:color w:val="auto"/>
              </w:rPr>
              <w:t>14,100,992</w:t>
            </w:r>
          </w:p>
        </w:tc>
        <w:tc>
          <w:tcPr>
            <w:tcW w:w="138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color w:val="auto"/>
              </w:rPr>
              <w:t>11,680,222</w:t>
            </w:r>
          </w:p>
        </w:tc>
        <w:tc>
          <w:tcPr>
            <w:tcW w:w="122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color w:val="auto"/>
              </w:rPr>
              <w:t>23,147,640</w:t>
            </w:r>
          </w:p>
        </w:tc>
        <w:tc>
          <w:tcPr>
            <w:tcW w:w="114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color w:val="auto"/>
              </w:rPr>
              <w:t>4,639,595</w:t>
            </w:r>
          </w:p>
        </w:tc>
      </w:tr>
    </w:tbl>
    <w:p>
      <w:pPr>
        <w:spacing w:after="0" w:line="187" w:lineRule="exact"/>
        <w:rPr>
          <w:sz w:val="20"/>
          <w:szCs w:val="20"/>
          <w:color w:val="auto"/>
        </w:rPr>
      </w:pPr>
    </w:p>
    <w:p>
      <w:pPr>
        <w:ind w:left="480"/>
        <w:spacing w:after="0"/>
        <w:rPr>
          <w:sz w:val="20"/>
          <w:szCs w:val="20"/>
          <w:color w:val="auto"/>
        </w:rPr>
      </w:pPr>
      <w:r>
        <w:rPr>
          <w:rFonts w:ascii="Arial" w:cs="Arial" w:eastAsia="Arial" w:hAnsi="Arial"/>
          <w:sz w:val="15"/>
          <w:szCs w:val="15"/>
          <w:color w:val="auto"/>
        </w:rPr>
        <w:t>Average of the Non-PEO NEOs</w:t>
      </w:r>
    </w:p>
    <w:p>
      <w:pPr>
        <w:spacing w:after="0" w:line="14" w:lineRule="exact"/>
        <w:rPr>
          <w:sz w:val="20"/>
          <w:szCs w:val="20"/>
          <w:color w:val="auto"/>
        </w:rPr>
      </w:pPr>
    </w:p>
    <w:tbl>
      <w:tblPr>
        <w:tblLayout w:type="fixed"/>
        <w:tblInd w:w="400" w:type="dxa"/>
        <w:tblCellMar>
          <w:top w:w="0" w:type="dxa"/>
          <w:left w:w="0" w:type="dxa"/>
          <w:bottom w:w="0" w:type="dxa"/>
          <w:right w:w="0" w:type="dxa"/>
        </w:tblCellMar>
      </w:tblPr>
      <w:tr>
        <w:trPr>
          <w:trHeight w:val="179"/>
        </w:trPr>
        <w:tc>
          <w:tcPr>
            <w:tcW w:w="3860" w:type="dxa"/>
            <w:vAlign w:val="bottom"/>
            <w:tcBorders>
              <w:top w:val="single" w:sz="8" w:color="auto"/>
              <w:bottom w:val="single" w:sz="8" w:color="auto"/>
            </w:tcBorders>
          </w:tcPr>
          <w:p>
            <w:pPr>
              <w:spacing w:after="0"/>
              <w:rPr>
                <w:sz w:val="15"/>
                <w:szCs w:val="15"/>
                <w:color w:val="auto"/>
              </w:rPr>
            </w:pPr>
          </w:p>
        </w:tc>
        <w:tc>
          <w:tcPr>
            <w:tcW w:w="15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3"/>
                <w:szCs w:val="13"/>
                <w:color w:val="auto"/>
              </w:rPr>
              <w:t>2025</w:t>
            </w:r>
          </w:p>
        </w:tc>
        <w:tc>
          <w:tcPr>
            <w:tcW w:w="13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3"/>
                <w:szCs w:val="13"/>
                <w:color w:val="auto"/>
              </w:rPr>
              <w:t>2024</w:t>
            </w:r>
          </w:p>
        </w:tc>
        <w:tc>
          <w:tcPr>
            <w:tcW w:w="138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3"/>
                <w:szCs w:val="13"/>
                <w:color w:val="auto"/>
              </w:rPr>
              <w:t>2023</w:t>
            </w:r>
          </w:p>
        </w:tc>
        <w:tc>
          <w:tcPr>
            <w:tcW w:w="12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3"/>
                <w:szCs w:val="13"/>
                <w:color w:val="auto"/>
              </w:rPr>
              <w:t>2022</w:t>
            </w:r>
          </w:p>
        </w:tc>
        <w:tc>
          <w:tcPr>
            <w:tcW w:w="114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3"/>
                <w:szCs w:val="13"/>
                <w:color w:val="auto"/>
              </w:rPr>
              <w:t>2021</w:t>
            </w:r>
          </w:p>
        </w:tc>
      </w:tr>
      <w:tr>
        <w:trPr>
          <w:trHeight w:val="271"/>
        </w:trPr>
        <w:tc>
          <w:tcPr>
            <w:tcW w:w="3860" w:type="dxa"/>
            <w:vAlign w:val="bottom"/>
          </w:tcPr>
          <w:p>
            <w:pPr>
              <w:ind w:left="80"/>
              <w:spacing w:after="0"/>
              <w:rPr>
                <w:sz w:val="20"/>
                <w:szCs w:val="20"/>
                <w:color w:val="auto"/>
              </w:rPr>
            </w:pPr>
            <w:r>
              <w:rPr>
                <w:rFonts w:ascii="Arial" w:cs="Arial" w:eastAsia="Arial" w:hAnsi="Arial"/>
                <w:sz w:val="13"/>
                <w:szCs w:val="13"/>
                <w:color w:val="auto"/>
              </w:rPr>
              <w:t>Summary Compensation Table (“SCT”) total</w:t>
            </w:r>
          </w:p>
        </w:tc>
        <w:tc>
          <w:tcPr>
            <w:tcW w:w="1540" w:type="dxa"/>
            <w:vAlign w:val="bottom"/>
          </w:tcPr>
          <w:p>
            <w:pPr>
              <w:jc w:val="right"/>
              <w:ind w:right="174"/>
              <w:spacing w:after="0"/>
              <w:rPr>
                <w:sz w:val="20"/>
                <w:szCs w:val="20"/>
                <w:color w:val="auto"/>
              </w:rPr>
            </w:pPr>
            <w:r>
              <w:rPr>
                <w:rFonts w:ascii="Arial" w:cs="Arial" w:eastAsia="Arial" w:hAnsi="Arial"/>
                <w:sz w:val="13"/>
                <w:szCs w:val="13"/>
                <w:color w:val="auto"/>
              </w:rPr>
              <w:t>5,092,417</w:t>
            </w:r>
          </w:p>
        </w:tc>
        <w:tc>
          <w:tcPr>
            <w:tcW w:w="1320" w:type="dxa"/>
            <w:vAlign w:val="bottom"/>
          </w:tcPr>
          <w:p>
            <w:pPr>
              <w:jc w:val="right"/>
              <w:ind w:right="354"/>
              <w:spacing w:after="0"/>
              <w:rPr>
                <w:sz w:val="20"/>
                <w:szCs w:val="20"/>
                <w:color w:val="auto"/>
              </w:rPr>
            </w:pPr>
            <w:r>
              <w:rPr>
                <w:rFonts w:ascii="Arial" w:cs="Arial" w:eastAsia="Arial" w:hAnsi="Arial"/>
                <w:sz w:val="13"/>
                <w:szCs w:val="13"/>
                <w:color w:val="auto"/>
              </w:rPr>
              <w:t>4,213,430</w:t>
            </w:r>
          </w:p>
        </w:tc>
        <w:tc>
          <w:tcPr>
            <w:tcW w:w="1380" w:type="dxa"/>
            <w:vAlign w:val="bottom"/>
          </w:tcPr>
          <w:p>
            <w:pPr>
              <w:jc w:val="right"/>
              <w:ind w:right="214"/>
              <w:spacing w:after="0"/>
              <w:rPr>
                <w:sz w:val="20"/>
                <w:szCs w:val="20"/>
                <w:color w:val="auto"/>
              </w:rPr>
            </w:pPr>
            <w:r>
              <w:rPr>
                <w:rFonts w:ascii="Arial" w:cs="Arial" w:eastAsia="Arial" w:hAnsi="Arial"/>
                <w:sz w:val="13"/>
                <w:szCs w:val="13"/>
                <w:color w:val="auto"/>
              </w:rPr>
              <w:t>3,697,210</w:t>
            </w:r>
          </w:p>
        </w:tc>
        <w:tc>
          <w:tcPr>
            <w:tcW w:w="1220" w:type="dxa"/>
            <w:vAlign w:val="bottom"/>
          </w:tcPr>
          <w:p>
            <w:pPr>
              <w:jc w:val="right"/>
              <w:ind w:right="174"/>
              <w:spacing w:after="0"/>
              <w:rPr>
                <w:sz w:val="20"/>
                <w:szCs w:val="20"/>
                <w:color w:val="auto"/>
              </w:rPr>
            </w:pPr>
            <w:r>
              <w:rPr>
                <w:rFonts w:ascii="Arial" w:cs="Arial" w:eastAsia="Arial" w:hAnsi="Arial"/>
                <w:sz w:val="13"/>
                <w:szCs w:val="13"/>
                <w:color w:val="auto"/>
              </w:rPr>
              <w:t>3,169,569</w:t>
            </w:r>
          </w:p>
        </w:tc>
        <w:tc>
          <w:tcPr>
            <w:tcW w:w="1140" w:type="dxa"/>
            <w:vAlign w:val="bottom"/>
          </w:tcPr>
          <w:p>
            <w:pPr>
              <w:jc w:val="right"/>
              <w:ind w:right="154"/>
              <w:spacing w:after="0"/>
              <w:rPr>
                <w:sz w:val="20"/>
                <w:szCs w:val="20"/>
                <w:color w:val="auto"/>
              </w:rPr>
            </w:pPr>
            <w:r>
              <w:rPr>
                <w:rFonts w:ascii="Arial" w:cs="Arial" w:eastAsia="Arial" w:hAnsi="Arial"/>
                <w:sz w:val="13"/>
                <w:szCs w:val="13"/>
                <w:color w:val="auto"/>
              </w:rPr>
              <w:t>2,906,827</w:t>
            </w:r>
          </w:p>
        </w:tc>
      </w:tr>
      <w:tr>
        <w:trPr>
          <w:trHeight w:val="261"/>
        </w:trPr>
        <w:tc>
          <w:tcPr>
            <w:tcW w:w="3860" w:type="dxa"/>
            <w:vAlign w:val="bottom"/>
          </w:tcPr>
          <w:p>
            <w:pPr>
              <w:ind w:left="80"/>
              <w:spacing w:after="0"/>
              <w:rPr>
                <w:sz w:val="20"/>
                <w:szCs w:val="20"/>
                <w:color w:val="auto"/>
              </w:rPr>
            </w:pPr>
            <w:r>
              <w:rPr>
                <w:rFonts w:ascii="Arial" w:cs="Arial" w:eastAsia="Arial" w:hAnsi="Arial"/>
                <w:sz w:val="13"/>
                <w:szCs w:val="13"/>
                <w:color w:val="auto"/>
              </w:rPr>
              <w:t>Less: Value Reported in the SCT of Stock Awards</w:t>
            </w:r>
          </w:p>
        </w:tc>
        <w:tc>
          <w:tcPr>
            <w:tcW w:w="1540" w:type="dxa"/>
            <w:vAlign w:val="bottom"/>
          </w:tcPr>
          <w:p>
            <w:pPr>
              <w:jc w:val="right"/>
              <w:ind w:right="174"/>
              <w:spacing w:after="0"/>
              <w:rPr>
                <w:sz w:val="20"/>
                <w:szCs w:val="20"/>
                <w:color w:val="auto"/>
              </w:rPr>
            </w:pPr>
            <w:r>
              <w:rPr>
                <w:rFonts w:ascii="Arial" w:cs="Arial" w:eastAsia="Arial" w:hAnsi="Arial"/>
                <w:sz w:val="13"/>
                <w:szCs w:val="13"/>
                <w:color w:val="auto"/>
              </w:rPr>
              <w:t>(3,091,821)</w:t>
            </w:r>
          </w:p>
        </w:tc>
        <w:tc>
          <w:tcPr>
            <w:tcW w:w="1320" w:type="dxa"/>
            <w:vAlign w:val="bottom"/>
          </w:tcPr>
          <w:p>
            <w:pPr>
              <w:jc w:val="right"/>
              <w:ind w:right="354"/>
              <w:spacing w:after="0"/>
              <w:rPr>
                <w:sz w:val="20"/>
                <w:szCs w:val="20"/>
                <w:color w:val="auto"/>
              </w:rPr>
            </w:pPr>
            <w:r>
              <w:rPr>
                <w:rFonts w:ascii="Arial" w:cs="Arial" w:eastAsia="Arial" w:hAnsi="Arial"/>
                <w:sz w:val="13"/>
                <w:szCs w:val="13"/>
                <w:color w:val="auto"/>
              </w:rPr>
              <w:t>(3,179,651)</w:t>
            </w:r>
          </w:p>
        </w:tc>
        <w:tc>
          <w:tcPr>
            <w:tcW w:w="1380" w:type="dxa"/>
            <w:vAlign w:val="bottom"/>
          </w:tcPr>
          <w:p>
            <w:pPr>
              <w:jc w:val="right"/>
              <w:ind w:right="214"/>
              <w:spacing w:after="0"/>
              <w:rPr>
                <w:sz w:val="20"/>
                <w:szCs w:val="20"/>
                <w:color w:val="auto"/>
              </w:rPr>
            </w:pPr>
            <w:r>
              <w:rPr>
                <w:rFonts w:ascii="Arial" w:cs="Arial" w:eastAsia="Arial" w:hAnsi="Arial"/>
                <w:sz w:val="13"/>
                <w:szCs w:val="13"/>
                <w:color w:val="auto"/>
              </w:rPr>
              <w:t>(2,092,228)</w:t>
            </w:r>
          </w:p>
        </w:tc>
        <w:tc>
          <w:tcPr>
            <w:tcW w:w="1220" w:type="dxa"/>
            <w:vAlign w:val="bottom"/>
          </w:tcPr>
          <w:p>
            <w:pPr>
              <w:jc w:val="right"/>
              <w:ind w:right="174"/>
              <w:spacing w:after="0"/>
              <w:rPr>
                <w:sz w:val="20"/>
                <w:szCs w:val="20"/>
                <w:color w:val="auto"/>
              </w:rPr>
            </w:pPr>
            <w:r>
              <w:rPr>
                <w:rFonts w:ascii="Arial" w:cs="Arial" w:eastAsia="Arial" w:hAnsi="Arial"/>
                <w:sz w:val="13"/>
                <w:szCs w:val="13"/>
                <w:color w:val="auto"/>
              </w:rPr>
              <w:t>(1,686,474)</w:t>
            </w:r>
          </w:p>
        </w:tc>
        <w:tc>
          <w:tcPr>
            <w:tcW w:w="1140" w:type="dxa"/>
            <w:vAlign w:val="bottom"/>
          </w:tcPr>
          <w:p>
            <w:pPr>
              <w:jc w:val="right"/>
              <w:ind w:right="154"/>
              <w:spacing w:after="0"/>
              <w:rPr>
                <w:sz w:val="20"/>
                <w:szCs w:val="20"/>
                <w:color w:val="auto"/>
              </w:rPr>
            </w:pPr>
            <w:r>
              <w:rPr>
                <w:rFonts w:ascii="Arial" w:cs="Arial" w:eastAsia="Arial" w:hAnsi="Arial"/>
                <w:sz w:val="13"/>
                <w:szCs w:val="13"/>
                <w:color w:val="auto"/>
              </w:rPr>
              <w:t>(2,039,507)</w:t>
            </w:r>
          </w:p>
        </w:tc>
      </w:tr>
      <w:tr>
        <w:trPr>
          <w:trHeight w:val="187"/>
        </w:trPr>
        <w:tc>
          <w:tcPr>
            <w:tcW w:w="3860" w:type="dxa"/>
            <w:vAlign w:val="bottom"/>
          </w:tcPr>
          <w:p>
            <w:pPr>
              <w:ind w:left="80"/>
              <w:spacing w:after="0"/>
              <w:rPr>
                <w:sz w:val="20"/>
                <w:szCs w:val="20"/>
                <w:color w:val="auto"/>
              </w:rPr>
            </w:pPr>
            <w:r>
              <w:rPr>
                <w:rFonts w:ascii="Arial" w:cs="Arial" w:eastAsia="Arial" w:hAnsi="Arial"/>
                <w:sz w:val="13"/>
                <w:szCs w:val="13"/>
                <w:color w:val="auto"/>
              </w:rPr>
              <w:t>Granted in the Covered Year</w:t>
            </w:r>
          </w:p>
        </w:tc>
        <w:tc>
          <w:tcPr>
            <w:tcW w:w="1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1"/>
        </w:trPr>
        <w:tc>
          <w:tcPr>
            <w:tcW w:w="3860" w:type="dxa"/>
            <w:vAlign w:val="bottom"/>
          </w:tcPr>
          <w:p>
            <w:pPr>
              <w:ind w:left="80"/>
              <w:spacing w:after="0"/>
              <w:rPr>
                <w:sz w:val="20"/>
                <w:szCs w:val="20"/>
                <w:color w:val="auto"/>
              </w:rPr>
            </w:pPr>
            <w:r>
              <w:rPr>
                <w:rFonts w:ascii="Arial" w:cs="Arial" w:eastAsia="Arial" w:hAnsi="Arial"/>
                <w:sz w:val="13"/>
                <w:szCs w:val="13"/>
                <w:color w:val="auto"/>
              </w:rPr>
              <w:t>Plus: Year-end Value for Stock Awards</w:t>
            </w:r>
          </w:p>
        </w:tc>
        <w:tc>
          <w:tcPr>
            <w:tcW w:w="1540" w:type="dxa"/>
            <w:vAlign w:val="bottom"/>
          </w:tcPr>
          <w:p>
            <w:pPr>
              <w:jc w:val="right"/>
              <w:ind w:right="174"/>
              <w:spacing w:after="0"/>
              <w:rPr>
                <w:sz w:val="20"/>
                <w:szCs w:val="20"/>
                <w:color w:val="auto"/>
              </w:rPr>
            </w:pPr>
            <w:r>
              <w:rPr>
                <w:rFonts w:ascii="Arial" w:cs="Arial" w:eastAsia="Arial" w:hAnsi="Arial"/>
                <w:sz w:val="13"/>
                <w:szCs w:val="13"/>
                <w:color w:val="auto"/>
              </w:rPr>
              <w:t>4,472,319</w:t>
            </w:r>
          </w:p>
        </w:tc>
        <w:tc>
          <w:tcPr>
            <w:tcW w:w="1320" w:type="dxa"/>
            <w:vAlign w:val="bottom"/>
          </w:tcPr>
          <w:p>
            <w:pPr>
              <w:jc w:val="right"/>
              <w:ind w:right="354"/>
              <w:spacing w:after="0"/>
              <w:rPr>
                <w:sz w:val="20"/>
                <w:szCs w:val="20"/>
                <w:color w:val="auto"/>
              </w:rPr>
            </w:pPr>
            <w:r>
              <w:rPr>
                <w:rFonts w:ascii="Arial" w:cs="Arial" w:eastAsia="Arial" w:hAnsi="Arial"/>
                <w:sz w:val="13"/>
                <w:szCs w:val="13"/>
                <w:color w:val="auto"/>
              </w:rPr>
              <w:t>3,526,328</w:t>
            </w:r>
          </w:p>
        </w:tc>
        <w:tc>
          <w:tcPr>
            <w:tcW w:w="1380" w:type="dxa"/>
            <w:vAlign w:val="bottom"/>
          </w:tcPr>
          <w:p>
            <w:pPr>
              <w:jc w:val="right"/>
              <w:ind w:right="214"/>
              <w:spacing w:after="0"/>
              <w:rPr>
                <w:sz w:val="20"/>
                <w:szCs w:val="20"/>
                <w:color w:val="auto"/>
              </w:rPr>
            </w:pPr>
            <w:r>
              <w:rPr>
                <w:rFonts w:ascii="Arial" w:cs="Arial" w:eastAsia="Arial" w:hAnsi="Arial"/>
                <w:sz w:val="13"/>
                <w:szCs w:val="13"/>
                <w:color w:val="auto"/>
              </w:rPr>
              <w:t>2,413,610</w:t>
            </w:r>
          </w:p>
        </w:tc>
        <w:tc>
          <w:tcPr>
            <w:tcW w:w="1220" w:type="dxa"/>
            <w:vAlign w:val="bottom"/>
          </w:tcPr>
          <w:p>
            <w:pPr>
              <w:jc w:val="right"/>
              <w:ind w:right="174"/>
              <w:spacing w:after="0"/>
              <w:rPr>
                <w:sz w:val="20"/>
                <w:szCs w:val="20"/>
                <w:color w:val="auto"/>
              </w:rPr>
            </w:pPr>
            <w:r>
              <w:rPr>
                <w:rFonts w:ascii="Arial" w:cs="Arial" w:eastAsia="Arial" w:hAnsi="Arial"/>
                <w:sz w:val="13"/>
                <w:szCs w:val="13"/>
                <w:color w:val="auto"/>
              </w:rPr>
              <w:t>3,449,054</w:t>
            </w:r>
          </w:p>
        </w:tc>
        <w:tc>
          <w:tcPr>
            <w:tcW w:w="1140" w:type="dxa"/>
            <w:vAlign w:val="bottom"/>
          </w:tcPr>
          <w:p>
            <w:pPr>
              <w:jc w:val="right"/>
              <w:ind w:right="154"/>
              <w:spacing w:after="0"/>
              <w:rPr>
                <w:sz w:val="20"/>
                <w:szCs w:val="20"/>
                <w:color w:val="auto"/>
              </w:rPr>
            </w:pPr>
            <w:r>
              <w:rPr>
                <w:rFonts w:ascii="Arial" w:cs="Arial" w:eastAsia="Arial" w:hAnsi="Arial"/>
                <w:sz w:val="13"/>
                <w:szCs w:val="13"/>
                <w:color w:val="auto"/>
              </w:rPr>
              <w:t>1,293,148</w:t>
            </w:r>
          </w:p>
        </w:tc>
      </w:tr>
      <w:tr>
        <w:trPr>
          <w:trHeight w:val="187"/>
        </w:trPr>
        <w:tc>
          <w:tcPr>
            <w:tcW w:w="3860" w:type="dxa"/>
            <w:vAlign w:val="bottom"/>
          </w:tcPr>
          <w:p>
            <w:pPr>
              <w:ind w:left="80"/>
              <w:spacing w:after="0"/>
              <w:rPr>
                <w:sz w:val="20"/>
                <w:szCs w:val="20"/>
                <w:color w:val="auto"/>
              </w:rPr>
            </w:pPr>
            <w:r>
              <w:rPr>
                <w:rFonts w:ascii="Arial" w:cs="Arial" w:eastAsia="Arial" w:hAnsi="Arial"/>
                <w:sz w:val="13"/>
                <w:szCs w:val="13"/>
                <w:color w:val="auto"/>
              </w:rPr>
              <w:t>Granted in the Covered Year</w:t>
            </w:r>
          </w:p>
        </w:tc>
        <w:tc>
          <w:tcPr>
            <w:tcW w:w="1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1"/>
        </w:trPr>
        <w:tc>
          <w:tcPr>
            <w:tcW w:w="3860" w:type="dxa"/>
            <w:vAlign w:val="bottom"/>
          </w:tcPr>
          <w:p>
            <w:pPr>
              <w:ind w:left="80"/>
              <w:spacing w:after="0"/>
              <w:rPr>
                <w:sz w:val="20"/>
                <w:szCs w:val="20"/>
                <w:color w:val="auto"/>
              </w:rPr>
            </w:pPr>
            <w:r>
              <w:rPr>
                <w:rFonts w:ascii="Arial" w:cs="Arial" w:eastAsia="Arial" w:hAnsi="Arial"/>
                <w:sz w:val="13"/>
                <w:szCs w:val="13"/>
                <w:color w:val="auto"/>
              </w:rPr>
              <w:t>Change in Fair Value of Unvested Stock</w:t>
            </w:r>
          </w:p>
        </w:tc>
        <w:tc>
          <w:tcPr>
            <w:tcW w:w="1540" w:type="dxa"/>
            <w:vAlign w:val="bottom"/>
          </w:tcPr>
          <w:p>
            <w:pPr>
              <w:jc w:val="right"/>
              <w:ind w:right="174"/>
              <w:spacing w:after="0"/>
              <w:rPr>
                <w:sz w:val="20"/>
                <w:szCs w:val="20"/>
                <w:color w:val="auto"/>
              </w:rPr>
            </w:pPr>
            <w:r>
              <w:rPr>
                <w:rFonts w:ascii="Arial" w:cs="Arial" w:eastAsia="Arial" w:hAnsi="Arial"/>
                <w:sz w:val="13"/>
                <w:szCs w:val="13"/>
                <w:color w:val="auto"/>
              </w:rPr>
              <w:t>2,535,929</w:t>
            </w:r>
          </w:p>
        </w:tc>
        <w:tc>
          <w:tcPr>
            <w:tcW w:w="1320" w:type="dxa"/>
            <w:vAlign w:val="bottom"/>
          </w:tcPr>
          <w:p>
            <w:pPr>
              <w:jc w:val="right"/>
              <w:ind w:right="354"/>
              <w:spacing w:after="0"/>
              <w:rPr>
                <w:sz w:val="20"/>
                <w:szCs w:val="20"/>
                <w:color w:val="auto"/>
              </w:rPr>
            </w:pPr>
            <w:r>
              <w:rPr>
                <w:rFonts w:ascii="Arial" w:cs="Arial" w:eastAsia="Arial" w:hAnsi="Arial"/>
                <w:sz w:val="13"/>
                <w:szCs w:val="13"/>
                <w:color w:val="auto"/>
              </w:rPr>
              <w:t>1,500,763</w:t>
            </w:r>
          </w:p>
        </w:tc>
        <w:tc>
          <w:tcPr>
            <w:tcW w:w="1380" w:type="dxa"/>
            <w:vAlign w:val="bottom"/>
          </w:tcPr>
          <w:p>
            <w:pPr>
              <w:jc w:val="right"/>
              <w:ind w:right="214"/>
              <w:spacing w:after="0"/>
              <w:rPr>
                <w:sz w:val="20"/>
                <w:szCs w:val="20"/>
                <w:color w:val="auto"/>
              </w:rPr>
            </w:pPr>
            <w:r>
              <w:rPr>
                <w:rFonts w:ascii="Arial" w:cs="Arial" w:eastAsia="Arial" w:hAnsi="Arial"/>
                <w:sz w:val="13"/>
                <w:szCs w:val="13"/>
                <w:color w:val="auto"/>
              </w:rPr>
              <w:t>808,963</w:t>
            </w:r>
          </w:p>
        </w:tc>
        <w:tc>
          <w:tcPr>
            <w:tcW w:w="1220" w:type="dxa"/>
            <w:vAlign w:val="bottom"/>
          </w:tcPr>
          <w:p>
            <w:pPr>
              <w:jc w:val="right"/>
              <w:ind w:right="174"/>
              <w:spacing w:after="0"/>
              <w:rPr>
                <w:sz w:val="20"/>
                <w:szCs w:val="20"/>
                <w:color w:val="auto"/>
              </w:rPr>
            </w:pPr>
            <w:r>
              <w:rPr>
                <w:rFonts w:ascii="Arial" w:cs="Arial" w:eastAsia="Arial" w:hAnsi="Arial"/>
                <w:sz w:val="13"/>
                <w:szCs w:val="13"/>
                <w:color w:val="auto"/>
              </w:rPr>
              <w:t>3,003,988</w:t>
            </w:r>
          </w:p>
        </w:tc>
        <w:tc>
          <w:tcPr>
            <w:tcW w:w="1140" w:type="dxa"/>
            <w:vAlign w:val="bottom"/>
          </w:tcPr>
          <w:p>
            <w:pPr>
              <w:jc w:val="right"/>
              <w:ind w:right="154"/>
              <w:spacing w:after="0"/>
              <w:rPr>
                <w:sz w:val="20"/>
                <w:szCs w:val="20"/>
                <w:color w:val="auto"/>
              </w:rPr>
            </w:pPr>
            <w:r>
              <w:rPr>
                <w:rFonts w:ascii="Arial" w:cs="Arial" w:eastAsia="Arial" w:hAnsi="Arial"/>
                <w:sz w:val="13"/>
                <w:szCs w:val="13"/>
                <w:color w:val="auto"/>
              </w:rPr>
              <w:t>(528,501)</w:t>
            </w:r>
          </w:p>
        </w:tc>
      </w:tr>
      <w:tr>
        <w:trPr>
          <w:trHeight w:val="187"/>
        </w:trPr>
        <w:tc>
          <w:tcPr>
            <w:tcW w:w="3860" w:type="dxa"/>
            <w:vAlign w:val="bottom"/>
          </w:tcPr>
          <w:p>
            <w:pPr>
              <w:ind w:left="80"/>
              <w:spacing w:after="0"/>
              <w:rPr>
                <w:sz w:val="20"/>
                <w:szCs w:val="20"/>
                <w:color w:val="auto"/>
              </w:rPr>
            </w:pPr>
            <w:r>
              <w:rPr>
                <w:rFonts w:ascii="Arial" w:cs="Arial" w:eastAsia="Arial" w:hAnsi="Arial"/>
                <w:sz w:val="13"/>
                <w:szCs w:val="13"/>
                <w:color w:val="auto"/>
              </w:rPr>
              <w:t>Awards from Prior Years that Remain Unvested</w:t>
            </w:r>
          </w:p>
        </w:tc>
        <w:tc>
          <w:tcPr>
            <w:tcW w:w="1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1"/>
        </w:trPr>
        <w:tc>
          <w:tcPr>
            <w:tcW w:w="3860" w:type="dxa"/>
            <w:vAlign w:val="bottom"/>
          </w:tcPr>
          <w:p>
            <w:pPr>
              <w:ind w:left="80"/>
              <w:spacing w:after="0"/>
              <w:rPr>
                <w:sz w:val="20"/>
                <w:szCs w:val="20"/>
                <w:color w:val="auto"/>
              </w:rPr>
            </w:pPr>
            <w:r>
              <w:rPr>
                <w:rFonts w:ascii="Arial" w:cs="Arial" w:eastAsia="Arial" w:hAnsi="Arial"/>
                <w:sz w:val="13"/>
                <w:szCs w:val="13"/>
                <w:color w:val="auto"/>
              </w:rPr>
              <w:t>Change in Fair Value of Stock Awards</w:t>
            </w:r>
          </w:p>
        </w:tc>
        <w:tc>
          <w:tcPr>
            <w:tcW w:w="1540" w:type="dxa"/>
            <w:vAlign w:val="bottom"/>
          </w:tcPr>
          <w:p>
            <w:pPr>
              <w:jc w:val="right"/>
              <w:ind w:right="174"/>
              <w:spacing w:after="0"/>
              <w:rPr>
                <w:sz w:val="20"/>
                <w:szCs w:val="20"/>
                <w:color w:val="auto"/>
              </w:rPr>
            </w:pPr>
            <w:r>
              <w:rPr>
                <w:rFonts w:ascii="Arial" w:cs="Arial" w:eastAsia="Arial" w:hAnsi="Arial"/>
                <w:sz w:val="13"/>
                <w:szCs w:val="13"/>
                <w:color w:val="auto"/>
              </w:rPr>
              <w:t>(162,143)</w:t>
            </w:r>
          </w:p>
        </w:tc>
        <w:tc>
          <w:tcPr>
            <w:tcW w:w="1320" w:type="dxa"/>
            <w:vAlign w:val="bottom"/>
          </w:tcPr>
          <w:p>
            <w:pPr>
              <w:jc w:val="right"/>
              <w:ind w:right="354"/>
              <w:spacing w:after="0"/>
              <w:rPr>
                <w:sz w:val="20"/>
                <w:szCs w:val="20"/>
                <w:color w:val="auto"/>
              </w:rPr>
            </w:pPr>
            <w:r>
              <w:rPr>
                <w:rFonts w:ascii="Arial" w:cs="Arial" w:eastAsia="Arial" w:hAnsi="Arial"/>
                <w:sz w:val="13"/>
                <w:szCs w:val="13"/>
                <w:color w:val="auto"/>
              </w:rPr>
              <w:t>186,727</w:t>
            </w:r>
          </w:p>
        </w:tc>
        <w:tc>
          <w:tcPr>
            <w:tcW w:w="1380" w:type="dxa"/>
            <w:vAlign w:val="bottom"/>
          </w:tcPr>
          <w:p>
            <w:pPr>
              <w:jc w:val="right"/>
              <w:ind w:right="214"/>
              <w:spacing w:after="0"/>
              <w:rPr>
                <w:sz w:val="20"/>
                <w:szCs w:val="20"/>
                <w:color w:val="auto"/>
              </w:rPr>
            </w:pPr>
            <w:r>
              <w:rPr>
                <w:rFonts w:ascii="Arial" w:cs="Arial" w:eastAsia="Arial" w:hAnsi="Arial"/>
                <w:sz w:val="13"/>
                <w:szCs w:val="13"/>
                <w:color w:val="auto"/>
              </w:rPr>
              <w:t>171,880</w:t>
            </w:r>
          </w:p>
        </w:tc>
        <w:tc>
          <w:tcPr>
            <w:tcW w:w="1220" w:type="dxa"/>
            <w:vAlign w:val="bottom"/>
          </w:tcPr>
          <w:p>
            <w:pPr>
              <w:jc w:val="right"/>
              <w:ind w:right="174"/>
              <w:spacing w:after="0"/>
              <w:rPr>
                <w:sz w:val="20"/>
                <w:szCs w:val="20"/>
                <w:color w:val="auto"/>
              </w:rPr>
            </w:pPr>
            <w:r>
              <w:rPr>
                <w:rFonts w:ascii="Arial" w:cs="Arial" w:eastAsia="Arial" w:hAnsi="Arial"/>
                <w:sz w:val="13"/>
                <w:szCs w:val="13"/>
                <w:color w:val="auto"/>
              </w:rPr>
              <w:t>55,912</w:t>
            </w:r>
          </w:p>
        </w:tc>
        <w:tc>
          <w:tcPr>
            <w:tcW w:w="1140" w:type="dxa"/>
            <w:vAlign w:val="bottom"/>
          </w:tcPr>
          <w:p>
            <w:pPr>
              <w:jc w:val="right"/>
              <w:ind w:right="154"/>
              <w:spacing w:after="0"/>
              <w:rPr>
                <w:sz w:val="20"/>
                <w:szCs w:val="20"/>
                <w:color w:val="auto"/>
              </w:rPr>
            </w:pPr>
            <w:r>
              <w:rPr>
                <w:rFonts w:ascii="Arial" w:cs="Arial" w:eastAsia="Arial" w:hAnsi="Arial"/>
                <w:sz w:val="13"/>
                <w:szCs w:val="13"/>
                <w:color w:val="auto"/>
              </w:rPr>
              <w:t>463,785</w:t>
            </w:r>
          </w:p>
        </w:tc>
      </w:tr>
      <w:tr>
        <w:trPr>
          <w:trHeight w:val="170"/>
        </w:trPr>
        <w:tc>
          <w:tcPr>
            <w:tcW w:w="3860" w:type="dxa"/>
            <w:vAlign w:val="bottom"/>
          </w:tcPr>
          <w:p>
            <w:pPr>
              <w:ind w:left="80"/>
              <w:spacing w:after="0"/>
              <w:rPr>
                <w:sz w:val="20"/>
                <w:szCs w:val="20"/>
                <w:color w:val="auto"/>
              </w:rPr>
            </w:pPr>
            <w:r>
              <w:rPr>
                <w:rFonts w:ascii="Arial" w:cs="Arial" w:eastAsia="Arial" w:hAnsi="Arial"/>
                <w:sz w:val="13"/>
                <w:szCs w:val="13"/>
                <w:color w:val="auto"/>
              </w:rPr>
              <w:t>from Prior Years that Vested in Covered Year</w:t>
            </w:r>
          </w:p>
        </w:tc>
        <w:tc>
          <w:tcPr>
            <w:tcW w:w="15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254"/>
        </w:trPr>
        <w:tc>
          <w:tcPr>
            <w:tcW w:w="386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Compensation Actually Paid</w:t>
            </w:r>
          </w:p>
        </w:tc>
        <w:tc>
          <w:tcPr>
            <w:tcW w:w="154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color w:val="auto"/>
              </w:rPr>
              <w:t>8,846,701</w:t>
            </w:r>
          </w:p>
        </w:tc>
        <w:tc>
          <w:tcPr>
            <w:tcW w:w="1320" w:type="dxa"/>
            <w:vAlign w:val="bottom"/>
            <w:tcBorders>
              <w:bottom w:val="single" w:sz="8" w:color="auto"/>
            </w:tcBorders>
          </w:tcPr>
          <w:p>
            <w:pPr>
              <w:jc w:val="right"/>
              <w:ind w:right="354"/>
              <w:spacing w:after="0"/>
              <w:rPr>
                <w:sz w:val="20"/>
                <w:szCs w:val="20"/>
                <w:color w:val="auto"/>
              </w:rPr>
            </w:pPr>
            <w:r>
              <w:rPr>
                <w:rFonts w:ascii="Arial" w:cs="Arial" w:eastAsia="Arial" w:hAnsi="Arial"/>
                <w:sz w:val="13"/>
                <w:szCs w:val="13"/>
                <w:color w:val="auto"/>
              </w:rPr>
              <w:t>6,247,597</w:t>
            </w:r>
          </w:p>
        </w:tc>
        <w:tc>
          <w:tcPr>
            <w:tcW w:w="138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color w:val="auto"/>
              </w:rPr>
              <w:t>4,999,435</w:t>
            </w:r>
          </w:p>
        </w:tc>
        <w:tc>
          <w:tcPr>
            <w:tcW w:w="122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color w:val="auto"/>
              </w:rPr>
              <w:t>7,992,051</w:t>
            </w:r>
          </w:p>
        </w:tc>
        <w:tc>
          <w:tcPr>
            <w:tcW w:w="114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color w:val="auto"/>
              </w:rPr>
              <w:t>2,095,752</w:t>
            </w:r>
          </w:p>
        </w:tc>
      </w:tr>
    </w:tbl>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790" w:right="339" w:bottom="1440" w:gutter="0" w:footer="0" w:header="0"/>
        </w:sectPr>
      </w:pPr>
    </w:p>
    <w:bookmarkStart w:id="52" w:name="page53"/>
    <w:bookmarkEnd w:id="52"/>
    <w:p>
      <w:pPr>
        <w:ind w:left="300" w:right="100" w:hanging="300"/>
        <w:spacing w:after="0" w:line="259" w:lineRule="auto"/>
        <w:tabs>
          <w:tab w:leader="none" w:pos="300" w:val="left"/>
        </w:tabs>
        <w:numPr>
          <w:ilvl w:val="0"/>
          <w:numId w:val="32"/>
        </w:numPr>
        <w:rPr>
          <w:rFonts w:ascii="Arial" w:cs="Arial" w:eastAsia="Arial" w:hAnsi="Arial"/>
          <w:sz w:val="13"/>
          <w:szCs w:val="13"/>
          <w:color w:val="auto"/>
        </w:rPr>
      </w:pPr>
      <w:r>
        <w:rPr>
          <w:rFonts w:ascii="Arial" w:cs="Arial" w:eastAsia="Arial" w:hAnsi="Arial"/>
          <w:sz w:val="15"/>
          <w:szCs w:val="15"/>
          <w:color w:val="auto"/>
        </w:rPr>
        <w:t>Peer Group Total Shareholder Return “TSR” reflects the S&amp;P 500 Property &amp; Casualty Insurance Index as reflected in our Annual Report on the Form 10-K pursuant to Item 201(e) of Regulation S-K for the fiscal year ended December 31, 2025. Each year reflects what the cumulative value of $100 would be, including the reinvestment of dividends, if such amount had been invested on December 31, 2020.</w:t>
      </w:r>
    </w:p>
    <w:p>
      <w:pPr>
        <w:spacing w:after="0" w:line="150" w:lineRule="exact"/>
        <w:rPr>
          <w:rFonts w:ascii="Arial" w:cs="Arial" w:eastAsia="Arial" w:hAnsi="Arial"/>
          <w:sz w:val="13"/>
          <w:szCs w:val="13"/>
          <w:color w:val="auto"/>
        </w:rPr>
      </w:pPr>
    </w:p>
    <w:p>
      <w:pPr>
        <w:ind w:left="300" w:right="160" w:hanging="300"/>
        <w:spacing w:after="0" w:line="253" w:lineRule="auto"/>
        <w:tabs>
          <w:tab w:leader="none" w:pos="300" w:val="left"/>
        </w:tabs>
        <w:numPr>
          <w:ilvl w:val="0"/>
          <w:numId w:val="32"/>
        </w:numPr>
        <w:rPr>
          <w:rFonts w:ascii="Arial" w:cs="Arial" w:eastAsia="Arial" w:hAnsi="Arial"/>
          <w:sz w:val="13"/>
          <w:szCs w:val="13"/>
          <w:color w:val="auto"/>
        </w:rPr>
      </w:pPr>
      <w:r>
        <w:rPr>
          <w:rFonts w:ascii="Arial" w:cs="Arial" w:eastAsia="Arial" w:hAnsi="Arial"/>
          <w:sz w:val="15"/>
          <w:szCs w:val="15"/>
          <w:color w:val="auto"/>
        </w:rPr>
        <w:t>For calendar years 2025 and forward, CVPS is the average of growth in book value per share (BVPS) and growth in intrinsic value per share, which is the BVPS including franchise value adjustments to reflect a conservative estimate of the fair value of certain subsidiaries/affiliates carried at book value. For calendar years through 2024, CVPS is the average of growth in adjusted book value per share (ABVPS) and growth in intrinsic value per share. See Annex A for a reconciliation of growth in ABVPS and BVPS to growth in intrinsic value per share.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Performance Measures</w:t>
      </w:r>
    </w:p>
    <w:p>
      <w:pPr>
        <w:spacing w:after="0" w:line="189" w:lineRule="exact"/>
        <w:rPr>
          <w:sz w:val="20"/>
          <w:szCs w:val="20"/>
          <w:color w:val="auto"/>
        </w:rPr>
      </w:pPr>
    </w:p>
    <w:p>
      <w:pPr>
        <w:ind w:firstLine="299"/>
        <w:spacing w:after="0" w:line="235" w:lineRule="auto"/>
        <w:rPr>
          <w:sz w:val="20"/>
          <w:szCs w:val="20"/>
          <w:color w:val="auto"/>
        </w:rPr>
      </w:pPr>
      <w:r>
        <w:rPr>
          <w:rFonts w:ascii="Arial" w:cs="Arial" w:eastAsia="Arial" w:hAnsi="Arial"/>
          <w:sz w:val="18"/>
          <w:szCs w:val="18"/>
          <w:color w:val="auto"/>
        </w:rPr>
        <w:t>As described in more detail in “Compensation Discussion &amp; Analysis” beginning on page 28, our approach to executive compensation is designed with the primary goal of maximizing shareholder value over long periods of time. We believe that this goal is best pursued by utilizing a pay-for-performance program that closely aligns the financial interests of management with those of our shareholders while rewarding appropriate risk taking. We accomplish this by emphasizing variable long-term compensation, the value of which is tied to performance over a number of years rather than fixed entitlements (such as base salary, pensions, and employee benefits). Annual growth in CVPS determines the level of payout under our formulaic annual bonus program, and annual growth in CVPS over the three-year performance cycle determines the number of shares earned from each grant of performance shares. The market value of our shares is not included as a direct measure of performance, but it determines the ultimate value of earned performance and restricted share awards. The most important financial measure used by the Company to link compensation actually paid (as defined by SEC rules) to the Company’s NEOs for 2025 to the Company’s performance is growth in CVPS.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Between Pay and Performance</w:t>
      </w:r>
    </w:p>
    <w:p>
      <w:pPr>
        <w:spacing w:after="0" w:line="189" w:lineRule="exact"/>
        <w:rPr>
          <w:sz w:val="20"/>
          <w:szCs w:val="20"/>
          <w:color w:val="auto"/>
        </w:rPr>
      </w:pPr>
    </w:p>
    <w:p>
      <w:pPr>
        <w:ind w:right="20" w:firstLine="299"/>
        <w:spacing w:after="0" w:line="232" w:lineRule="auto"/>
        <w:rPr>
          <w:sz w:val="20"/>
          <w:szCs w:val="20"/>
          <w:color w:val="auto"/>
        </w:rPr>
      </w:pPr>
      <w:r>
        <w:rPr>
          <w:rFonts w:ascii="Arial" w:cs="Arial" w:eastAsia="Arial" w:hAnsi="Arial"/>
          <w:sz w:val="18"/>
          <w:szCs w:val="18"/>
          <w:color w:val="auto"/>
        </w:rPr>
        <w:t>In 2025, strong growth in CVPS positively correlated with growth in Compensation Actually Paid for the following reasons. Based on the Company’s performance of 22.8% growth in CVPS in 2025, the PEO and NEOs received bonuses of 200% of target for 2025. During 2025, the fair value of all performance shares included in the calculation of Compensation Actually Paid to the PEO and Average Compensation Actually Paid to the non-PEO NEOs increased significantly as (1) the level of growth in CVPS resulted in higher projected payout percentages on all outstanding performance cycles and (2) the Company’s share price increased by 6.8% during 2025. The fair value of all restricted shares outstanding used in the calculation of Compensation Actually Paid to the PEO and Average Compensation Actually Paid to the non-PEO NEOs also increased in 2025 as a direct result of the 6.8% increase in the Company’s share price during the year. The increase in the Company’s net income also positively correlated with growth in compensation actually paid as net income drove the increase in growth in CVPS. The Company’s TSR also positively correlated with the level of compensation actually paid, though not as much as growth in CVPS, as the increase in share price partially accounted for the increase in value in outstanding performance shares and restricted shares.</w:t>
      </w:r>
    </w:p>
    <w:p>
      <w:pPr>
        <w:spacing w:after="0" w:line="7" w:lineRule="exact"/>
        <w:rPr>
          <w:sz w:val="20"/>
          <w:szCs w:val="20"/>
          <w:color w:val="auto"/>
        </w:rPr>
      </w:pPr>
    </w:p>
    <w:p>
      <w:pPr>
        <w:ind w:right="40" w:firstLine="299"/>
        <w:spacing w:after="0" w:line="230" w:lineRule="auto"/>
        <w:rPr>
          <w:sz w:val="20"/>
          <w:szCs w:val="20"/>
          <w:color w:val="auto"/>
        </w:rPr>
      </w:pPr>
      <w:r>
        <w:rPr>
          <w:rFonts w:ascii="Arial" w:cs="Arial" w:eastAsia="Arial" w:hAnsi="Arial"/>
          <w:sz w:val="18"/>
          <w:szCs w:val="18"/>
          <w:color w:val="auto"/>
        </w:rPr>
        <w:t>In 2024, Compensation Actually Paid to the PEO and Average Compensation Actually Paid to the non-PEO NEOs increased compared to 2023. The primary driver was an increase in the fair value of all performance and restricted shares included in the calculation of Compensation Actually Paid to the PEO and Average Compensation Actually Paid to the non-PEO NEOs as the Company’s share price increased by 29.2% during 2024, compared to a 6.4% increase during 2023. Partially mitigating this increase, CVPS grew at a slower pace in 2024 than in 2023 resulting in a slightly lower projected payout percentage on the 2023-2025 performance cycle in 2024. Based on the Company’s performance of 8.3% growth in CVPS in 2024, the PEO and NEOs received bonuses of 47% of target for 2024 compared to 170% of target for 2023. The Company’s net income of $230.4 million in 2024 compared to $509.2 million in 2023 contributed to the decrease in growth in CVPS. The Company’s TSR positively correlated with the level of Compensation Actually Paid as the increase in the Company’s share price primarily accounted for the increase in value in outstanding performance shares and restricted shares.</w:t>
      </w:r>
    </w:p>
    <w:p>
      <w:pPr>
        <w:spacing w:after="0" w:line="7" w:lineRule="exact"/>
        <w:rPr>
          <w:sz w:val="20"/>
          <w:szCs w:val="20"/>
          <w:color w:val="auto"/>
        </w:rPr>
      </w:pPr>
    </w:p>
    <w:p>
      <w:pPr>
        <w:ind w:firstLine="299"/>
        <w:spacing w:after="0" w:line="233" w:lineRule="auto"/>
        <w:rPr>
          <w:sz w:val="20"/>
          <w:szCs w:val="20"/>
          <w:color w:val="auto"/>
        </w:rPr>
      </w:pPr>
      <w:r>
        <w:rPr>
          <w:rFonts w:ascii="Arial" w:cs="Arial" w:eastAsia="Arial" w:hAnsi="Arial"/>
          <w:sz w:val="18"/>
          <w:szCs w:val="18"/>
          <w:color w:val="auto"/>
        </w:rPr>
        <w:t>In 2023, CVPS grew at a slower pace than in 2022 resulting in a decrease in Compensation Actually Paid in 2023 compared to 2022. Based on the Company’s performance of 14.5% growth in CVPS in 2023, the PEO and NEOs received bonuses of 170% of target for 2023. During 2023, the fair value of all performance shares included in the calculation of Compensation Actually Paid to the PEO and Average Compensation Actually Paid to the non-PEO NEOs increased as (1) the level of growth in CVPS resulted in a higher projected payout percentage on the 2021-2023 performance cycle and (2) the Company’s share price increased by 6.4% during 2023. However, both of these factors increased at a lower rate than in 2022. The fair value of all restricted shares outstanding used in the calculation of Compensation Actually Paid to the PEO and Average Compensation Actually Paid to the non-PEO NEOs also increased in 2023 as a direct result of the 6.4% increase in the Company’s share price during the year, which was lower than the 39.5% increase in 2022. The Company’s net income of</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53" w:name="page54"/>
    <w:bookmarkEnd w:id="53"/>
    <w:p>
      <w:pPr>
        <w:jc w:val="both"/>
        <w:ind w:right="40"/>
        <w:spacing w:after="0" w:line="237" w:lineRule="auto"/>
        <w:rPr>
          <w:sz w:val="20"/>
          <w:szCs w:val="20"/>
          <w:color w:val="auto"/>
        </w:rPr>
      </w:pPr>
      <w:r>
        <w:rPr>
          <w:rFonts w:ascii="Arial" w:cs="Arial" w:eastAsia="Arial" w:hAnsi="Arial"/>
          <w:sz w:val="18"/>
          <w:szCs w:val="18"/>
          <w:color w:val="auto"/>
        </w:rPr>
        <w:t>$509.2 million in 2023 positively correlated with growth in compensation actually paid as net income drove the increase in growth in CVPS. The Company’s TSR also positively correlated with the level of compensation actually paid, though not as much as growth in CVPS, as the increase in share price partially accounted for the increase in value in outstanding performance shares and restricted shares.</w:t>
      </w:r>
    </w:p>
    <w:p>
      <w:pPr>
        <w:spacing w:after="0" w:line="2" w:lineRule="exact"/>
        <w:rPr>
          <w:sz w:val="20"/>
          <w:szCs w:val="20"/>
          <w:color w:val="auto"/>
        </w:rPr>
      </w:pPr>
    </w:p>
    <w:p>
      <w:pPr>
        <w:ind w:firstLine="299"/>
        <w:spacing w:after="0" w:line="230" w:lineRule="auto"/>
        <w:rPr>
          <w:sz w:val="20"/>
          <w:szCs w:val="20"/>
          <w:color w:val="auto"/>
        </w:rPr>
      </w:pPr>
      <w:r>
        <w:rPr>
          <w:rFonts w:ascii="Arial" w:cs="Arial" w:eastAsia="Arial" w:hAnsi="Arial"/>
          <w:sz w:val="18"/>
          <w:szCs w:val="18"/>
          <w:color w:val="auto"/>
        </w:rPr>
        <w:t>In 2022, strong growth in CVPS positively correlated with growth in Compensation Actually Paid for the following reasons. Based on the Company’s performance of 23.9% growth in CVPS in 2022, the PEO and NEOs received bonuses of 200% of target for 2022. During 2022, the fair value of all performance shares included in the calculation of Compensation Actually Paid to the PEO and Average Compensation Actually Paid to the non-PEO NEOs increased significantly as (1) the level of growth in CVPS resulted in higher projected payout percentages on all outstanding performance cycles and (2) the Company’s share price increased by 39.5% during 2022. The fair value of all restricted shares outstanding used in the calculation of Compensation Actually Paid to the PEO and Average Compensation Actually Paid to the non-PEO NEOs also increased in 2022 as a direct result of the 39.5% increase in the Company’s share price during the year. The increase in the Company’s net income also positively correlated with growth in compensation actually paid as net income drove the increase in growth in CVPS. The Company’s TSR also positively correlated with the level of compensation actually paid, though not as much as growth in CVPS, as the increase in share price partially accounted for the increase in value in outstanding performance shares and restricted shares.</w:t>
      </w:r>
    </w:p>
    <w:p>
      <w:pPr>
        <w:spacing w:after="0" w:line="8" w:lineRule="exact"/>
        <w:rPr>
          <w:sz w:val="20"/>
          <w:szCs w:val="20"/>
          <w:color w:val="auto"/>
        </w:rPr>
      </w:pPr>
    </w:p>
    <w:p>
      <w:pPr>
        <w:ind w:right="40" w:firstLine="299"/>
        <w:spacing w:after="0" w:line="230" w:lineRule="auto"/>
        <w:rPr>
          <w:sz w:val="20"/>
          <w:szCs w:val="20"/>
          <w:color w:val="auto"/>
        </w:rPr>
      </w:pPr>
      <w:r>
        <w:rPr>
          <w:rFonts w:ascii="Arial" w:cs="Arial" w:eastAsia="Arial" w:hAnsi="Arial"/>
          <w:sz w:val="18"/>
          <w:szCs w:val="18"/>
          <w:color w:val="auto"/>
        </w:rPr>
        <w:t>In 2021, negative growth in CVPS correlated with a decrease in compensation actually paid. For 2021, the PEO and NEOs received no bonuses and projected payout percentages on outstanding performance shares decreased from the prior year end. The decrease in the Company’s net income also correlated with the decrease in compensation actually paid as the net loss drove the decrease in growth in CVPS. The Company’s TSR of 1.4% somewhat correlated with the lower level of compensation actually paid. The small increase in the value of each restricted share and performance share outstanding was more than offset by the reduction in the projected payout percentages on all outstanding performance share cycles due to the negative growth in CVPS.</w:t>
      </w:r>
    </w:p>
    <w:p>
      <w:pPr>
        <w:spacing w:after="0" w:line="4" w:lineRule="exact"/>
        <w:rPr>
          <w:sz w:val="20"/>
          <w:szCs w:val="20"/>
          <w:color w:val="auto"/>
        </w:rPr>
      </w:pPr>
    </w:p>
    <w:p>
      <w:pPr>
        <w:ind w:right="500" w:firstLine="299"/>
        <w:spacing w:after="0" w:line="249" w:lineRule="auto"/>
        <w:rPr>
          <w:sz w:val="20"/>
          <w:szCs w:val="20"/>
          <w:color w:val="auto"/>
        </w:rPr>
      </w:pPr>
      <w:r>
        <w:rPr>
          <w:rFonts w:ascii="Arial" w:cs="Arial" w:eastAsia="Arial" w:hAnsi="Arial"/>
          <w:sz w:val="18"/>
          <w:szCs w:val="18"/>
          <w:color w:val="auto"/>
        </w:rPr>
        <w:t>The following chart provides a graphical representation of the Company's five-year cumulative TSR versus our industry peer group, the S&amp;P 500 Property &amp; Casualty Insurance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108585</wp:posOffset>
            </wp:positionV>
            <wp:extent cx="4875530" cy="25361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875530" cy="253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20"/>
          </w:cols>
          <w:pgMar w:left="320" w:top="815" w:right="359" w:bottom="1440" w:gutter="0" w:footer="0" w:header="0"/>
        </w:sectPr>
      </w:pPr>
    </w:p>
    <w:bookmarkStart w:id="54" w:name="page55"/>
    <w:bookmarkEnd w:id="54"/>
    <w:p>
      <w:pPr>
        <w:ind w:left="4880"/>
        <w:spacing w:after="0"/>
        <w:rPr>
          <w:sz w:val="20"/>
          <w:szCs w:val="20"/>
          <w:color w:val="auto"/>
        </w:rPr>
      </w:pPr>
      <w:r>
        <w:rPr>
          <w:rFonts w:ascii="Arial" w:cs="Arial" w:eastAsia="Arial" w:hAnsi="Arial"/>
          <w:sz w:val="18"/>
          <w:szCs w:val="18"/>
          <w:b w:val="1"/>
          <w:bCs w:val="1"/>
          <w:color w:val="auto"/>
        </w:rPr>
        <w:t>Pension Benefits</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Named Executive Officers did not participate in any defined pension plans sponsored by White Mountains in 2025.</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Nonqualified Deferred Compensation</w:t>
      </w:r>
    </w:p>
    <w:p>
      <w:pPr>
        <w:spacing w:after="0" w:line="191" w:lineRule="exact"/>
        <w:rPr>
          <w:sz w:val="20"/>
          <w:szCs w:val="20"/>
          <w:color w:val="auto"/>
        </w:rPr>
      </w:pPr>
    </w:p>
    <w:p>
      <w:pPr>
        <w:ind w:right="240" w:firstLine="299"/>
        <w:spacing w:after="0" w:line="270" w:lineRule="auto"/>
        <w:rPr>
          <w:sz w:val="20"/>
          <w:szCs w:val="20"/>
          <w:color w:val="auto"/>
        </w:rPr>
      </w:pPr>
      <w:r>
        <w:rPr>
          <w:rFonts w:ascii="Arial" w:cs="Arial" w:eastAsia="Arial" w:hAnsi="Arial"/>
          <w:sz w:val="18"/>
          <w:szCs w:val="18"/>
          <w:color w:val="auto"/>
        </w:rPr>
        <w:t>The Named Executive Officers did not participate in any nonqualified deferred compensation plans sponsored by White Mountains in 2025.</w:t>
      </w:r>
    </w:p>
    <w:p>
      <w:pPr>
        <w:spacing w:after="0" w:line="331" w:lineRule="exact"/>
        <w:rPr>
          <w:sz w:val="20"/>
          <w:szCs w:val="20"/>
          <w:color w:val="auto"/>
        </w:rPr>
      </w:pPr>
    </w:p>
    <w:p>
      <w:pPr>
        <w:ind w:right="3020" w:firstLine="3052"/>
        <w:spacing w:after="0" w:line="461" w:lineRule="auto"/>
        <w:rPr>
          <w:sz w:val="20"/>
          <w:szCs w:val="20"/>
          <w:color w:val="auto"/>
        </w:rPr>
      </w:pPr>
      <w:r>
        <w:rPr>
          <w:rFonts w:ascii="Arial" w:cs="Arial" w:eastAsia="Arial" w:hAnsi="Arial"/>
          <w:sz w:val="18"/>
          <w:szCs w:val="18"/>
          <w:b w:val="1"/>
          <w:bCs w:val="1"/>
          <w:color w:val="auto"/>
        </w:rPr>
        <w:t>Potential Payments Upon Termination or Change in Control Employment and Severance Agreements</w:t>
      </w:r>
    </w:p>
    <w:p>
      <w:pPr>
        <w:spacing w:after="0" w:line="1" w:lineRule="exact"/>
        <w:rPr>
          <w:sz w:val="20"/>
          <w:szCs w:val="20"/>
          <w:color w:val="auto"/>
        </w:rPr>
      </w:pPr>
    </w:p>
    <w:p>
      <w:pPr>
        <w:ind w:right="140" w:firstLine="299"/>
        <w:spacing w:after="0"/>
        <w:rPr>
          <w:sz w:val="20"/>
          <w:szCs w:val="20"/>
          <w:color w:val="auto"/>
        </w:rPr>
      </w:pPr>
      <w:r>
        <w:rPr>
          <w:rFonts w:ascii="Arial" w:cs="Arial" w:eastAsia="Arial" w:hAnsi="Arial"/>
          <w:sz w:val="18"/>
          <w:szCs w:val="18"/>
          <w:color w:val="auto"/>
        </w:rPr>
        <w:t>We typically do not enter into employment agreements with our Named Executive Officers. From time to time we have entered into short-term arrangements with (a) newly hired executives governing their compensation and severance for a period of up to their first three years with the Company or (b) departing executives in connection with their transition into advisory roles. We have entered into an employment agreement with Mr. Rountree in connection with his transition into a Senior Advisor role. See “Employment Agreements; Compensation Arrangement for Mr. Rountree” on page 42.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Plans</w:t>
      </w:r>
    </w:p>
    <w:p>
      <w:pPr>
        <w:spacing w:after="0" w:line="191" w:lineRule="exact"/>
        <w:rPr>
          <w:sz w:val="20"/>
          <w:szCs w:val="20"/>
          <w:color w:val="auto"/>
        </w:rPr>
      </w:pPr>
    </w:p>
    <w:p>
      <w:pPr>
        <w:ind w:right="40" w:firstLine="299"/>
        <w:spacing w:after="0"/>
        <w:rPr>
          <w:sz w:val="20"/>
          <w:szCs w:val="20"/>
          <w:color w:val="auto"/>
        </w:rPr>
      </w:pPr>
      <w:r>
        <w:rPr>
          <w:rFonts w:ascii="Arial" w:cs="Arial" w:eastAsia="Arial" w:hAnsi="Arial"/>
          <w:sz w:val="18"/>
          <w:szCs w:val="18"/>
          <w:color w:val="auto"/>
        </w:rPr>
        <w:t>Under our long-term incentive plans, certain events, such as retirement, death or disability, or the occurrence of both a change in control of the Company (or a business unit, as applicable) and an involuntary or constructive employment termination or materially adverse amendments to such plans, WTM restricted shares become vested and WTM performance shares become payable in full or in part. Below is a description of the payments to which each of our Named Executive Officers would be entitled assuming in each case that such events occurred on December 31, 2025.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Voluntary Termination of Employment</w:t>
      </w:r>
    </w:p>
    <w:p>
      <w:pPr>
        <w:spacing w:after="0" w:line="189" w:lineRule="exact"/>
        <w:rPr>
          <w:sz w:val="20"/>
          <w:szCs w:val="20"/>
          <w:color w:val="auto"/>
        </w:rPr>
      </w:pPr>
    </w:p>
    <w:p>
      <w:pPr>
        <w:ind w:firstLine="299"/>
        <w:spacing w:after="0" w:line="250" w:lineRule="auto"/>
        <w:rPr>
          <w:sz w:val="20"/>
          <w:szCs w:val="20"/>
          <w:color w:val="auto"/>
        </w:rPr>
      </w:pPr>
      <w:r>
        <w:rPr>
          <w:rFonts w:ascii="Arial" w:cs="Arial" w:eastAsia="Arial" w:hAnsi="Arial"/>
          <w:sz w:val="18"/>
          <w:szCs w:val="18"/>
          <w:color w:val="auto"/>
        </w:rPr>
        <w:t>Had any of our Named Executive Officers voluntarily terminated their employment on December 31, 2025, their unvested long-term incentive grants would have been cancelled and payments, if any, in respect of those cancelled grants would be made at the sole discretion of the CNG Committee.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Involuntary Termination of Employment</w:t>
      </w:r>
    </w:p>
    <w:p>
      <w:pPr>
        <w:spacing w:after="0" w:line="189" w:lineRule="exact"/>
        <w:rPr>
          <w:sz w:val="20"/>
          <w:szCs w:val="20"/>
          <w:color w:val="auto"/>
        </w:rPr>
      </w:pPr>
    </w:p>
    <w:p>
      <w:pPr>
        <w:jc w:val="both"/>
        <w:ind w:right="260" w:firstLine="299"/>
        <w:spacing w:after="0" w:line="250" w:lineRule="auto"/>
        <w:rPr>
          <w:sz w:val="20"/>
          <w:szCs w:val="20"/>
          <w:color w:val="auto"/>
        </w:rPr>
      </w:pPr>
      <w:r>
        <w:rPr>
          <w:rFonts w:ascii="Arial" w:cs="Arial" w:eastAsia="Arial" w:hAnsi="Arial"/>
          <w:sz w:val="18"/>
          <w:szCs w:val="18"/>
          <w:color w:val="auto"/>
        </w:rPr>
        <w:t>Had any of our Named Executive Officers been terminated without cause on December 31, 2025, their unvested long-term incentive grants would have been cancelled and payments, if any, in respect of those cancelled grants would be made at the sole discretion of the CNG Committee.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w:t>
      </w:r>
    </w:p>
    <w:p>
      <w:pPr>
        <w:spacing w:after="0" w:line="189" w:lineRule="exact"/>
        <w:rPr>
          <w:sz w:val="20"/>
          <w:szCs w:val="20"/>
          <w:color w:val="auto"/>
        </w:rPr>
      </w:pPr>
    </w:p>
    <w:p>
      <w:pPr>
        <w:jc w:val="both"/>
        <w:ind w:right="280" w:firstLine="299"/>
        <w:spacing w:after="0" w:line="270" w:lineRule="auto"/>
        <w:rPr>
          <w:sz w:val="20"/>
          <w:szCs w:val="20"/>
          <w:color w:val="auto"/>
        </w:rPr>
      </w:pPr>
      <w:r>
        <w:rPr>
          <w:rFonts w:ascii="Arial" w:cs="Arial" w:eastAsia="Arial" w:hAnsi="Arial"/>
          <w:sz w:val="18"/>
          <w:szCs w:val="18"/>
          <w:color w:val="auto"/>
        </w:rPr>
        <w:t>Had any of our Named Executive Officers retired on December 31, 2025, their unvested long-term incentive grants would have been cancelled and payments, if any, in respect of those cancelled grants would be made at the sole discretion of the CNG Committee.</w:t>
      </w:r>
    </w:p>
    <w:p>
      <w:pPr>
        <w:spacing w:after="0" w:line="132" w:lineRule="exact"/>
        <w:rPr>
          <w:sz w:val="20"/>
          <w:szCs w:val="20"/>
          <w:color w:val="auto"/>
        </w:rPr>
      </w:pPr>
    </w:p>
    <w:p>
      <w:pPr>
        <w:ind w:right="200" w:firstLine="299"/>
        <w:spacing w:after="0" w:line="250" w:lineRule="auto"/>
        <w:rPr>
          <w:sz w:val="20"/>
          <w:szCs w:val="20"/>
          <w:color w:val="auto"/>
        </w:rPr>
      </w:pPr>
      <w:r>
        <w:rPr>
          <w:rFonts w:ascii="Arial" w:cs="Arial" w:eastAsia="Arial" w:hAnsi="Arial"/>
          <w:sz w:val="18"/>
          <w:szCs w:val="18"/>
          <w:color w:val="auto"/>
        </w:rPr>
        <w:t>Mr. Rountree retired as Chief Executive Officer, effective December 31, 2025, but remains employed as a Senior Advisor through January 1, 2028. Accordingly, Mr. Rountree’s unvested long-term incentive grants will remain outstanding and will continue to vest during the period of his continued employment.</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20"/>
          </w:cols>
          <w:pgMar w:left="320" w:top="1014"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Death or Disability</w:t>
      </w:r>
    </w:p>
    <w:p>
      <w:pPr>
        <w:spacing w:after="0" w:line="189" w:lineRule="exact"/>
        <w:rPr>
          <w:sz w:val="20"/>
          <w:szCs w:val="20"/>
          <w:color w:val="auto"/>
        </w:rPr>
      </w:pPr>
    </w:p>
    <w:p>
      <w:pPr>
        <w:ind w:right="160" w:firstLine="299"/>
        <w:spacing w:after="0" w:line="244" w:lineRule="auto"/>
        <w:rPr>
          <w:sz w:val="20"/>
          <w:szCs w:val="20"/>
          <w:color w:val="auto"/>
        </w:rPr>
      </w:pPr>
      <w:r>
        <w:rPr>
          <w:rFonts w:ascii="Arial" w:cs="Arial" w:eastAsia="Arial" w:hAnsi="Arial"/>
          <w:sz w:val="18"/>
          <w:szCs w:val="18"/>
          <w:color w:val="auto"/>
        </w:rPr>
        <w:t>Had any of our Named Executive Officers employed as of December 31, 2025 died or become disabled on that date, they would have been entitled to pro rata vesting of their WTM performance shares, full vesting of their restricted shares and any payments due under employment contracts. Under this scenario, Messrs. Rountree, Caffrey, Harrison and Seelig, and Ms. Hildreth would have been entitled to receive $22,564,905, $14,129,054, $6,211,553, $11,317,103 and $7,358,630, respectively.</w:t>
      </w:r>
    </w:p>
    <w:p>
      <w:pPr>
        <w:spacing w:after="0" w:line="154" w:lineRule="exact"/>
        <w:rPr>
          <w:sz w:val="20"/>
          <w:szCs w:val="20"/>
          <w:color w:val="auto"/>
        </w:rPr>
      </w:pPr>
    </w:p>
    <w:p>
      <w:pPr>
        <w:ind w:right="100" w:firstLine="299"/>
        <w:spacing w:after="0" w:line="244" w:lineRule="auto"/>
        <w:rPr>
          <w:sz w:val="20"/>
          <w:szCs w:val="20"/>
          <w:color w:val="auto"/>
        </w:rPr>
      </w:pPr>
      <w:r>
        <w:rPr>
          <w:rFonts w:ascii="Arial" w:cs="Arial" w:eastAsia="Arial" w:hAnsi="Arial"/>
          <w:sz w:val="18"/>
          <w:szCs w:val="18"/>
          <w:color w:val="auto"/>
        </w:rPr>
        <w:t>For purposes of computing the amounts above, the WTM performance shares were valued at the December 31, 2025 common share closing market price ($2,078.03) including dividends since grant. The WTM performance shares would vest pro-rated for time and at 100% of target; provided, that in the case of the 2023-2025 performance cycle, values are shown at actual performance of 184%. Restricted shares were valued at the December 31, 2025 common share closing market price including dividends since grant.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w:t>
      </w:r>
    </w:p>
    <w:p>
      <w:pPr>
        <w:spacing w:after="0" w:line="177" w:lineRule="exact"/>
        <w:rPr>
          <w:sz w:val="20"/>
          <w:szCs w:val="20"/>
          <w:color w:val="auto"/>
        </w:rPr>
      </w:pPr>
    </w:p>
    <w:p>
      <w:pPr>
        <w:ind w:right="80" w:firstLine="299"/>
        <w:spacing w:after="0" w:line="238" w:lineRule="auto"/>
        <w:rPr>
          <w:sz w:val="20"/>
          <w:szCs w:val="20"/>
          <w:color w:val="auto"/>
        </w:rPr>
      </w:pPr>
      <w:r>
        <w:rPr>
          <w:rFonts w:ascii="Arial" w:cs="Arial" w:eastAsia="Arial" w:hAnsi="Arial"/>
          <w:sz w:val="18"/>
          <w:szCs w:val="18"/>
          <w:color w:val="auto"/>
        </w:rPr>
        <w:t>Had both a change in control of the Company (or a business unit, as applicable) and an involuntary termination, constructive termination or materially adverse amendments to our long-term incentive plans occurred on December 31, 2025 to any of our Named Executive Officers employed as of that date, they would have been entitled to full vesting of their WTM performance shares at up to 200% of target, full vesting of their restricted shares and any payments due under employment contracts. Under this scenario, Messrs. Rountree, Caffrey, Harrison and Seelig and Ms. Hildreth would have been entitled to receive $33,853,613, $21,216,981, $12,103,471, $17,004,770 and $11,388,089, respectively.</w:t>
      </w:r>
    </w:p>
    <w:p>
      <w:pPr>
        <w:spacing w:after="0" w:line="150" w:lineRule="exact"/>
        <w:rPr>
          <w:sz w:val="20"/>
          <w:szCs w:val="20"/>
          <w:color w:val="auto"/>
        </w:rPr>
      </w:pPr>
    </w:p>
    <w:p>
      <w:pPr>
        <w:ind w:firstLine="299"/>
        <w:spacing w:after="0" w:line="244" w:lineRule="auto"/>
        <w:rPr>
          <w:sz w:val="20"/>
          <w:szCs w:val="20"/>
          <w:color w:val="auto"/>
        </w:rPr>
      </w:pPr>
      <w:r>
        <w:rPr>
          <w:rFonts w:ascii="Arial" w:cs="Arial" w:eastAsia="Arial" w:hAnsi="Arial"/>
          <w:sz w:val="18"/>
          <w:szCs w:val="18"/>
          <w:color w:val="auto"/>
        </w:rPr>
        <w:t>For purposes of computing the amounts above, the WTM performance shares, including the 2023-2025 performance cycle, were shown at 200% of target. The WTM performance shares were valued at the December 31, 2025 common share closing market price ($2,078.03) including dividends since grant. Restricted shares were valued at the December 31, 2025 common share closing market price including dividends since grant.</w:t>
      </w:r>
    </w:p>
    <w:p>
      <w:pPr>
        <w:spacing w:after="0" w:line="141" w:lineRule="exact"/>
        <w:rPr>
          <w:sz w:val="20"/>
          <w:szCs w:val="20"/>
          <w:color w:val="auto"/>
        </w:rPr>
      </w:pPr>
    </w:p>
    <w:p>
      <w:pPr>
        <w:jc w:val="center"/>
        <w:ind w:left="560" w:right="60"/>
        <w:spacing w:after="0" w:line="501" w:lineRule="auto"/>
        <w:rPr>
          <w:sz w:val="20"/>
          <w:szCs w:val="20"/>
          <w:color w:val="auto"/>
        </w:rPr>
      </w:pPr>
      <w:r>
        <w:rPr>
          <w:rFonts w:ascii="Arial" w:cs="Arial" w:eastAsia="Arial" w:hAnsi="Arial"/>
          <w:sz w:val="18"/>
          <w:szCs w:val="18"/>
          <w:color w:val="auto"/>
        </w:rPr>
        <w:t>Our long-term incentive plans do not provide for tax gross-ups for excess parachute payments that may result from a change in control.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714311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56" w:name="page57"/>
    <w:bookmarkEnd w:id="56"/>
    <w:p>
      <w:pPr>
        <w:ind w:left="4620"/>
        <w:spacing w:after="0"/>
        <w:rPr>
          <w:sz w:val="20"/>
          <w:szCs w:val="20"/>
          <w:color w:val="auto"/>
        </w:rPr>
      </w:pPr>
      <w:r>
        <w:rPr>
          <w:rFonts w:ascii="Arial" w:cs="Arial" w:eastAsia="Arial" w:hAnsi="Arial"/>
          <w:sz w:val="18"/>
          <w:szCs w:val="18"/>
          <w:b w:val="1"/>
          <w:bCs w:val="1"/>
          <w:color w:val="auto"/>
        </w:rPr>
        <w:t>Director Compensation</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CNG Committee has adopted a compensation program for our non-employee directors that is focused on:</w:t>
      </w:r>
    </w:p>
    <w:p>
      <w:pPr>
        <w:spacing w:after="0" w:line="191" w:lineRule="exact"/>
        <w:rPr>
          <w:sz w:val="20"/>
          <w:szCs w:val="20"/>
          <w:color w:val="auto"/>
        </w:rPr>
      </w:pPr>
    </w:p>
    <w:p>
      <w:pPr>
        <w:ind w:left="640" w:hanging="304"/>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attracting and retaining highly-qualified directors with a diversity of skills, backgrounds and experiences</w:t>
      </w:r>
    </w:p>
    <w:p>
      <w:pPr>
        <w:spacing w:after="0" w:line="10" w:lineRule="exact"/>
        <w:rPr>
          <w:rFonts w:ascii="Arial" w:cs="Arial" w:eastAsia="Arial" w:hAnsi="Arial"/>
          <w:sz w:val="18"/>
          <w:szCs w:val="18"/>
          <w:color w:val="auto"/>
        </w:rPr>
      </w:pPr>
    </w:p>
    <w:p>
      <w:pPr>
        <w:ind w:left="640" w:hanging="304"/>
        <w:spacing w:after="0" w:line="230"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appropriately valuing the significant time and travel commitment required for our non-employee directors</w:t>
      </w:r>
    </w:p>
    <w:p>
      <w:pPr>
        <w:ind w:left="640" w:hanging="304"/>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encouraging directors’ ownership of our common shares to further the alignment of their interests with those of our shareholders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that end, our non-employee director compensation program in effect for fiscal 2025 included the following elements:</w:t>
      </w:r>
    </w:p>
    <w:p>
      <w:pPr>
        <w:spacing w:after="0" w:line="191" w:lineRule="exact"/>
        <w:rPr>
          <w:sz w:val="20"/>
          <w:szCs w:val="20"/>
          <w:color w:val="auto"/>
        </w:rPr>
      </w:pPr>
    </w:p>
    <w:p>
      <w:pPr>
        <w:ind w:left="600" w:hanging="302"/>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annual cash retainer of $135,000</w:t>
      </w:r>
    </w:p>
    <w:p>
      <w:pPr>
        <w:spacing w:after="0" w:line="10" w:lineRule="exact"/>
        <w:rPr>
          <w:rFonts w:ascii="Arial" w:cs="Arial" w:eastAsia="Arial" w:hAnsi="Arial"/>
          <w:sz w:val="18"/>
          <w:szCs w:val="18"/>
          <w:color w:val="auto"/>
        </w:rPr>
      </w:pPr>
    </w:p>
    <w:p>
      <w:pPr>
        <w:ind w:left="600" w:hanging="302"/>
        <w:spacing w:after="0" w:line="230"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annual equity retainer of 150 common shares</w:t>
      </w:r>
    </w:p>
    <w:p>
      <w:pPr>
        <w:ind w:left="600" w:hanging="302"/>
        <w:spacing w:after="0" w:line="230"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additional retainer of $100,000 and 60 common shares for our Board Chair</w:t>
      </w:r>
    </w:p>
    <w:p>
      <w:pPr>
        <w:ind w:left="600" w:hanging="302"/>
        <w:spacing w:after="0" w:line="230"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additional cash retainer of $15,000 for each member of the Audit Committee</w:t>
      </w:r>
    </w:p>
    <w:p>
      <w:pPr>
        <w:ind w:left="600" w:right="180" w:hanging="302"/>
        <w:spacing w:after="0" w:line="249"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additional annual retainers (in addition to member retainer) of $35,000 and $25,000 for chairs of the Audit Committee and all other committees, respectively</w:t>
      </w:r>
    </w:p>
    <w:p>
      <w:pPr>
        <w:spacing w:after="0" w:line="150" w:lineRule="exact"/>
        <w:rPr>
          <w:sz w:val="20"/>
          <w:szCs w:val="20"/>
          <w:color w:val="auto"/>
        </w:rPr>
      </w:pPr>
    </w:p>
    <w:p>
      <w:pPr>
        <w:ind w:right="280" w:firstLine="299"/>
        <w:spacing w:after="0" w:line="270" w:lineRule="auto"/>
        <w:rPr>
          <w:sz w:val="20"/>
          <w:szCs w:val="20"/>
          <w:color w:val="auto"/>
        </w:rPr>
      </w:pPr>
      <w:r>
        <w:rPr>
          <w:rFonts w:ascii="Arial" w:cs="Arial" w:eastAsia="Arial" w:hAnsi="Arial"/>
          <w:sz w:val="18"/>
          <w:szCs w:val="18"/>
          <w:color w:val="auto"/>
        </w:rPr>
        <w:t>Our non-employee directors are not provided with any benefits other than participating in our employee matching gift program on the same terms as our employees, matching gifts up to $10,000 per participating individual.</w:t>
      </w:r>
    </w:p>
    <w:p>
      <w:pPr>
        <w:spacing w:after="0" w:line="132" w:lineRule="exact"/>
        <w:rPr>
          <w:sz w:val="20"/>
          <w:szCs w:val="20"/>
          <w:color w:val="auto"/>
        </w:rPr>
      </w:pPr>
    </w:p>
    <w:p>
      <w:pPr>
        <w:ind w:right="180" w:firstLine="299"/>
        <w:spacing w:after="0" w:line="270" w:lineRule="auto"/>
        <w:rPr>
          <w:sz w:val="20"/>
          <w:szCs w:val="20"/>
          <w:color w:val="auto"/>
        </w:rPr>
      </w:pPr>
      <w:r>
        <w:rPr>
          <w:rFonts w:ascii="Arial" w:cs="Arial" w:eastAsia="Arial" w:hAnsi="Arial"/>
          <w:sz w:val="18"/>
          <w:szCs w:val="18"/>
          <w:color w:val="auto"/>
        </w:rPr>
        <w:t>As described in the notes to the table below, due to his extensive insurance industry expertise, Mr. Campbell served on the board of a subsidiary of the Company during 2025. For his service, he received director fees, which are included under “All Other Compensation.”</w:t>
      </w:r>
    </w:p>
    <w:p>
      <w:pPr>
        <w:spacing w:after="0" w:line="1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summarizes director compensation for 2025 (for directors other than Named Executive Officers):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40" w:type="dxa"/>
            <w:vAlign w:val="bottom"/>
            <w:tcBorders>
              <w:top w:val="single" w:sz="8" w:color="auto"/>
            </w:tcBorders>
          </w:tcPr>
          <w:p>
            <w:pPr>
              <w:spacing w:after="0"/>
              <w:rPr>
                <w:sz w:val="15"/>
                <w:szCs w:val="15"/>
                <w:color w:val="auto"/>
              </w:rPr>
            </w:pPr>
          </w:p>
        </w:tc>
        <w:tc>
          <w:tcPr>
            <w:tcW w:w="20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Change in</w:t>
            </w:r>
          </w:p>
        </w:tc>
        <w:tc>
          <w:tcPr>
            <w:tcW w:w="13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r>
      <w:tr>
        <w:trPr>
          <w:trHeight w:val="174"/>
        </w:trPr>
        <w:tc>
          <w:tcPr>
            <w:tcW w:w="21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00" w:type="dxa"/>
            <w:vAlign w:val="bottom"/>
          </w:tcPr>
          <w:p>
            <w:pPr>
              <w:jc w:val="right"/>
              <w:ind w:right="45"/>
              <w:spacing w:after="0"/>
              <w:rPr>
                <w:sz w:val="20"/>
                <w:szCs w:val="20"/>
                <w:color w:val="auto"/>
              </w:rPr>
            </w:pPr>
            <w:r>
              <w:rPr>
                <w:rFonts w:ascii="Arial" w:cs="Arial" w:eastAsia="Arial" w:hAnsi="Arial"/>
                <w:sz w:val="15"/>
                <w:szCs w:val="15"/>
                <w:color w:val="auto"/>
              </w:rPr>
              <w:t>Pension Value</w:t>
            </w:r>
          </w:p>
        </w:tc>
        <w:tc>
          <w:tcPr>
            <w:tcW w:w="13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4"/>
        </w:trPr>
        <w:tc>
          <w:tcPr>
            <w:tcW w:w="21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00" w:type="dxa"/>
            <w:vAlign w:val="bottom"/>
          </w:tcPr>
          <w:p>
            <w:pPr>
              <w:jc w:val="right"/>
              <w:ind w:right="45"/>
              <w:spacing w:after="0"/>
              <w:rPr>
                <w:sz w:val="20"/>
                <w:szCs w:val="20"/>
                <w:color w:val="auto"/>
              </w:rPr>
            </w:pPr>
            <w:r>
              <w:rPr>
                <w:rFonts w:ascii="Arial" w:cs="Arial" w:eastAsia="Arial" w:hAnsi="Arial"/>
                <w:sz w:val="15"/>
                <w:szCs w:val="15"/>
                <w:color w:val="auto"/>
              </w:rPr>
              <w:t>and Nonqualified</w:t>
            </w:r>
          </w:p>
        </w:tc>
        <w:tc>
          <w:tcPr>
            <w:tcW w:w="13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4"/>
        </w:trPr>
        <w:tc>
          <w:tcPr>
            <w:tcW w:w="21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Non-Equity</w:t>
            </w:r>
          </w:p>
        </w:tc>
        <w:tc>
          <w:tcPr>
            <w:tcW w:w="1300" w:type="dxa"/>
            <w:vAlign w:val="bottom"/>
          </w:tcPr>
          <w:p>
            <w:pPr>
              <w:jc w:val="right"/>
              <w:ind w:right="45"/>
              <w:spacing w:after="0"/>
              <w:rPr>
                <w:sz w:val="20"/>
                <w:szCs w:val="20"/>
                <w:color w:val="auto"/>
              </w:rPr>
            </w:pPr>
            <w:r>
              <w:rPr>
                <w:rFonts w:ascii="Arial" w:cs="Arial" w:eastAsia="Arial" w:hAnsi="Arial"/>
                <w:sz w:val="15"/>
                <w:szCs w:val="15"/>
                <w:color w:val="auto"/>
              </w:rPr>
              <w:t>Deferred</w:t>
            </w:r>
          </w:p>
        </w:tc>
        <w:tc>
          <w:tcPr>
            <w:tcW w:w="13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4"/>
        </w:trPr>
        <w:tc>
          <w:tcPr>
            <w:tcW w:w="2140" w:type="dxa"/>
            <w:vAlign w:val="bottom"/>
          </w:tcPr>
          <w:p>
            <w:pPr>
              <w:spacing w:after="0"/>
              <w:rPr>
                <w:sz w:val="15"/>
                <w:szCs w:val="15"/>
                <w:color w:val="auto"/>
              </w:rPr>
            </w:pPr>
          </w:p>
        </w:tc>
        <w:tc>
          <w:tcPr>
            <w:tcW w:w="2000" w:type="dxa"/>
            <w:vAlign w:val="bottom"/>
          </w:tcPr>
          <w:p>
            <w:pPr>
              <w:jc w:val="right"/>
              <w:ind w:right="325"/>
              <w:spacing w:after="0"/>
              <w:rPr>
                <w:sz w:val="20"/>
                <w:szCs w:val="20"/>
                <w:color w:val="auto"/>
              </w:rPr>
            </w:pPr>
            <w:r>
              <w:rPr>
                <w:rFonts w:ascii="Arial" w:cs="Arial" w:eastAsia="Arial" w:hAnsi="Arial"/>
                <w:sz w:val="15"/>
                <w:szCs w:val="15"/>
                <w:color w:val="auto"/>
              </w:rPr>
              <w:t>Fees Paid</w:t>
            </w:r>
          </w:p>
        </w:tc>
        <w:tc>
          <w:tcPr>
            <w:tcW w:w="1060" w:type="dxa"/>
            <w:vAlign w:val="bottom"/>
          </w:tcPr>
          <w:p>
            <w:pPr>
              <w:jc w:val="right"/>
              <w:ind w:right="45"/>
              <w:spacing w:after="0"/>
              <w:rPr>
                <w:sz w:val="20"/>
                <w:szCs w:val="20"/>
                <w:color w:val="auto"/>
              </w:rPr>
            </w:pPr>
            <w:r>
              <w:rPr>
                <w:rFonts w:ascii="Arial" w:cs="Arial" w:eastAsia="Arial" w:hAnsi="Arial"/>
                <w:sz w:val="15"/>
                <w:szCs w:val="15"/>
                <w:color w:val="auto"/>
              </w:rPr>
              <w:t>Stock</w:t>
            </w:r>
          </w:p>
        </w:tc>
        <w:tc>
          <w:tcPr>
            <w:tcW w:w="12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Incentive Plan</w:t>
            </w:r>
          </w:p>
        </w:tc>
        <w:tc>
          <w:tcPr>
            <w:tcW w:w="1300" w:type="dxa"/>
            <w:vAlign w:val="bottom"/>
          </w:tcPr>
          <w:p>
            <w:pPr>
              <w:jc w:val="right"/>
              <w:ind w:right="45"/>
              <w:spacing w:after="0"/>
              <w:rPr>
                <w:sz w:val="20"/>
                <w:szCs w:val="20"/>
                <w:color w:val="auto"/>
              </w:rPr>
            </w:pPr>
            <w:r>
              <w:rPr>
                <w:rFonts w:ascii="Arial" w:cs="Arial" w:eastAsia="Arial" w:hAnsi="Arial"/>
                <w:sz w:val="15"/>
                <w:szCs w:val="15"/>
                <w:color w:val="auto"/>
              </w:rPr>
              <w:t>Compensation</w:t>
            </w:r>
          </w:p>
        </w:tc>
        <w:tc>
          <w:tcPr>
            <w:tcW w:w="1380" w:type="dxa"/>
            <w:vAlign w:val="bottom"/>
          </w:tcPr>
          <w:p>
            <w:pPr>
              <w:jc w:val="right"/>
              <w:ind w:right="185"/>
              <w:spacing w:after="0"/>
              <w:rPr>
                <w:sz w:val="20"/>
                <w:szCs w:val="20"/>
                <w:color w:val="auto"/>
              </w:rPr>
            </w:pPr>
            <w:r>
              <w:rPr>
                <w:rFonts w:ascii="Arial" w:cs="Arial" w:eastAsia="Arial" w:hAnsi="Arial"/>
                <w:sz w:val="15"/>
                <w:szCs w:val="15"/>
                <w:color w:val="auto"/>
              </w:rPr>
              <w:t>All Other</w:t>
            </w:r>
          </w:p>
        </w:tc>
        <w:tc>
          <w:tcPr>
            <w:tcW w:w="960" w:type="dxa"/>
            <w:vAlign w:val="bottom"/>
          </w:tcPr>
          <w:p>
            <w:pPr>
              <w:spacing w:after="0"/>
              <w:rPr>
                <w:sz w:val="15"/>
                <w:szCs w:val="15"/>
                <w:color w:val="auto"/>
              </w:rPr>
            </w:pPr>
          </w:p>
        </w:tc>
      </w:tr>
      <w:tr>
        <w:trPr>
          <w:trHeight w:val="174"/>
        </w:trPr>
        <w:tc>
          <w:tcPr>
            <w:tcW w:w="2140" w:type="dxa"/>
            <w:vAlign w:val="bottom"/>
          </w:tcPr>
          <w:p>
            <w:pPr>
              <w:spacing w:after="0"/>
              <w:rPr>
                <w:sz w:val="15"/>
                <w:szCs w:val="15"/>
                <w:color w:val="auto"/>
              </w:rPr>
            </w:pPr>
          </w:p>
        </w:tc>
        <w:tc>
          <w:tcPr>
            <w:tcW w:w="2000" w:type="dxa"/>
            <w:vAlign w:val="bottom"/>
          </w:tcPr>
          <w:p>
            <w:pPr>
              <w:jc w:val="right"/>
              <w:ind w:right="325"/>
              <w:spacing w:after="0"/>
              <w:rPr>
                <w:sz w:val="20"/>
                <w:szCs w:val="20"/>
                <w:color w:val="auto"/>
              </w:rPr>
            </w:pPr>
            <w:r>
              <w:rPr>
                <w:rFonts w:ascii="Arial" w:cs="Arial" w:eastAsia="Arial" w:hAnsi="Arial"/>
                <w:sz w:val="15"/>
                <w:szCs w:val="15"/>
                <w:color w:val="auto"/>
              </w:rPr>
              <w:t>in Cash</w:t>
            </w:r>
          </w:p>
        </w:tc>
        <w:tc>
          <w:tcPr>
            <w:tcW w:w="1060" w:type="dxa"/>
            <w:vAlign w:val="bottom"/>
          </w:tcPr>
          <w:p>
            <w:pPr>
              <w:jc w:val="right"/>
              <w:ind w:right="45"/>
              <w:spacing w:after="0"/>
              <w:rPr>
                <w:sz w:val="20"/>
                <w:szCs w:val="20"/>
                <w:color w:val="auto"/>
              </w:rPr>
            </w:pPr>
            <w:r>
              <w:rPr>
                <w:rFonts w:ascii="Arial" w:cs="Arial" w:eastAsia="Arial" w:hAnsi="Arial"/>
                <w:sz w:val="15"/>
                <w:szCs w:val="15"/>
                <w:color w:val="auto"/>
              </w:rPr>
              <w:t>Awards</w:t>
            </w:r>
          </w:p>
        </w:tc>
        <w:tc>
          <w:tcPr>
            <w:tcW w:w="1240" w:type="dxa"/>
            <w:vAlign w:val="bottom"/>
          </w:tcPr>
          <w:p>
            <w:pPr>
              <w:jc w:val="right"/>
              <w:ind w:right="65"/>
              <w:spacing w:after="0"/>
              <w:rPr>
                <w:sz w:val="20"/>
                <w:szCs w:val="20"/>
                <w:color w:val="auto"/>
              </w:rPr>
            </w:pPr>
            <w:r>
              <w:rPr>
                <w:rFonts w:ascii="Arial" w:cs="Arial" w:eastAsia="Arial" w:hAnsi="Arial"/>
                <w:sz w:val="15"/>
                <w:szCs w:val="15"/>
                <w:color w:val="auto"/>
              </w:rPr>
              <w:t>Option Awards</w:t>
            </w:r>
          </w:p>
        </w:tc>
        <w:tc>
          <w:tcPr>
            <w:tcW w:w="1160" w:type="dxa"/>
            <w:vAlign w:val="bottom"/>
          </w:tcPr>
          <w:p>
            <w:pPr>
              <w:jc w:val="right"/>
              <w:spacing w:after="0"/>
              <w:rPr>
                <w:sz w:val="20"/>
                <w:szCs w:val="20"/>
                <w:color w:val="auto"/>
              </w:rPr>
            </w:pPr>
            <w:r>
              <w:rPr>
                <w:rFonts w:ascii="Arial" w:cs="Arial" w:eastAsia="Arial" w:hAnsi="Arial"/>
                <w:sz w:val="15"/>
                <w:szCs w:val="15"/>
                <w:color w:val="auto"/>
              </w:rPr>
              <w:t>Compensation</w:t>
            </w:r>
          </w:p>
        </w:tc>
        <w:tc>
          <w:tcPr>
            <w:tcW w:w="1300" w:type="dxa"/>
            <w:vAlign w:val="bottom"/>
          </w:tcPr>
          <w:p>
            <w:pPr>
              <w:jc w:val="right"/>
              <w:ind w:right="45"/>
              <w:spacing w:after="0"/>
              <w:rPr>
                <w:sz w:val="20"/>
                <w:szCs w:val="20"/>
                <w:color w:val="auto"/>
              </w:rPr>
            </w:pPr>
            <w:r>
              <w:rPr>
                <w:rFonts w:ascii="Arial" w:cs="Arial" w:eastAsia="Arial" w:hAnsi="Arial"/>
                <w:sz w:val="15"/>
                <w:szCs w:val="15"/>
                <w:color w:val="auto"/>
              </w:rPr>
              <w:t>Earnings</w:t>
            </w:r>
          </w:p>
        </w:tc>
        <w:tc>
          <w:tcPr>
            <w:tcW w:w="1380" w:type="dxa"/>
            <w:vAlign w:val="bottom"/>
          </w:tcPr>
          <w:p>
            <w:pPr>
              <w:jc w:val="right"/>
              <w:ind w:right="225"/>
              <w:spacing w:after="0"/>
              <w:rPr>
                <w:sz w:val="20"/>
                <w:szCs w:val="20"/>
                <w:color w:val="auto"/>
              </w:rPr>
            </w:pPr>
            <w:r>
              <w:rPr>
                <w:rFonts w:ascii="Arial" w:cs="Arial" w:eastAsia="Arial" w:hAnsi="Arial"/>
                <w:sz w:val="15"/>
                <w:szCs w:val="15"/>
                <w:color w:val="auto"/>
              </w:rPr>
              <w:t>Compensation</w:t>
            </w:r>
          </w:p>
        </w:tc>
        <w:tc>
          <w:tcPr>
            <w:tcW w:w="960" w:type="dxa"/>
            <w:vAlign w:val="bottom"/>
          </w:tcPr>
          <w:p>
            <w:pPr>
              <w:jc w:val="right"/>
              <w:ind w:right="85"/>
              <w:spacing w:after="0"/>
              <w:rPr>
                <w:sz w:val="20"/>
                <w:szCs w:val="20"/>
                <w:color w:val="auto"/>
              </w:rPr>
            </w:pPr>
            <w:r>
              <w:rPr>
                <w:rFonts w:ascii="Arial" w:cs="Arial" w:eastAsia="Arial" w:hAnsi="Arial"/>
                <w:sz w:val="15"/>
                <w:szCs w:val="15"/>
                <w:color w:val="auto"/>
              </w:rPr>
              <w:t>Total</w:t>
            </w:r>
          </w:p>
        </w:tc>
      </w:tr>
      <w:tr>
        <w:trPr>
          <w:trHeight w:val="186"/>
        </w:trPr>
        <w:tc>
          <w:tcPr>
            <w:tcW w:w="21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Director</w:t>
            </w:r>
          </w:p>
        </w:tc>
        <w:tc>
          <w:tcPr>
            <w:tcW w:w="200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rPr>
              <w:t>(a) ($)</w:t>
            </w:r>
          </w:p>
        </w:tc>
        <w:tc>
          <w:tcPr>
            <w:tcW w:w="106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(b) ($)</w:t>
            </w:r>
          </w:p>
        </w:tc>
        <w:tc>
          <w:tcPr>
            <w:tcW w:w="124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rPr>
              <w:t>(c) ($)</w:t>
            </w:r>
          </w:p>
        </w:tc>
        <w:tc>
          <w:tcPr>
            <w:tcW w:w="96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rPr>
              <w:t>($)</w:t>
            </w:r>
          </w:p>
        </w:tc>
      </w:tr>
      <w:tr>
        <w:trPr>
          <w:trHeight w:val="167"/>
        </w:trPr>
        <w:tc>
          <w:tcPr>
            <w:tcW w:w="2140" w:type="dxa"/>
            <w:vAlign w:val="bottom"/>
            <w:tcBorders>
              <w:bottom w:val="single" w:sz="8" w:color="auto"/>
            </w:tcBorders>
            <w:shd w:val="clear" w:color="auto" w:fill="E7E6E6"/>
          </w:tcPr>
          <w:p>
            <w:pPr>
              <w:spacing w:after="0" w:line="167" w:lineRule="exact"/>
              <w:rPr>
                <w:sz w:val="20"/>
                <w:szCs w:val="20"/>
                <w:color w:val="auto"/>
              </w:rPr>
            </w:pPr>
            <w:r>
              <w:rPr>
                <w:rFonts w:ascii="Arial" w:cs="Arial" w:eastAsia="Arial" w:hAnsi="Arial"/>
                <w:sz w:val="15"/>
                <w:szCs w:val="15"/>
                <w:color w:val="auto"/>
              </w:rPr>
              <w:t>Reid T. Campbell</w:t>
            </w:r>
          </w:p>
        </w:tc>
        <w:tc>
          <w:tcPr>
            <w:tcW w:w="2000" w:type="dxa"/>
            <w:vAlign w:val="bottom"/>
            <w:tcBorders>
              <w:bottom w:val="single" w:sz="8" w:color="auto"/>
            </w:tcBorders>
            <w:shd w:val="clear" w:color="auto" w:fill="E7E6E6"/>
          </w:tcPr>
          <w:p>
            <w:pPr>
              <w:jc w:val="right"/>
              <w:ind w:right="325"/>
              <w:spacing w:after="0" w:line="167" w:lineRule="exact"/>
              <w:rPr>
                <w:sz w:val="20"/>
                <w:szCs w:val="20"/>
                <w:color w:val="auto"/>
              </w:rPr>
            </w:pPr>
            <w:r>
              <w:rPr>
                <w:rFonts w:ascii="Arial" w:cs="Arial" w:eastAsia="Arial" w:hAnsi="Arial"/>
                <w:sz w:val="15"/>
                <w:szCs w:val="15"/>
                <w:color w:val="auto"/>
              </w:rPr>
              <w:t>135,000</w:t>
            </w:r>
          </w:p>
        </w:tc>
        <w:tc>
          <w:tcPr>
            <w:tcW w:w="1060" w:type="dxa"/>
            <w:vAlign w:val="bottom"/>
            <w:tcBorders>
              <w:bottom w:val="single" w:sz="8" w:color="auto"/>
            </w:tcBorders>
            <w:shd w:val="clear" w:color="auto" w:fill="E7E6E6"/>
          </w:tcPr>
          <w:p>
            <w:pPr>
              <w:jc w:val="right"/>
              <w:ind w:right="45"/>
              <w:spacing w:after="0" w:line="167" w:lineRule="exact"/>
              <w:rPr>
                <w:sz w:val="20"/>
                <w:szCs w:val="20"/>
                <w:color w:val="auto"/>
              </w:rPr>
            </w:pPr>
            <w:r>
              <w:rPr>
                <w:rFonts w:ascii="Arial" w:cs="Arial" w:eastAsia="Arial" w:hAnsi="Arial"/>
                <w:sz w:val="15"/>
                <w:szCs w:val="15"/>
                <w:color w:val="auto"/>
              </w:rPr>
              <w:t>269,648</w:t>
            </w:r>
          </w:p>
        </w:tc>
        <w:tc>
          <w:tcPr>
            <w:tcW w:w="1240" w:type="dxa"/>
            <w:vAlign w:val="bottom"/>
            <w:tcBorders>
              <w:bottom w:val="single" w:sz="8" w:color="auto"/>
            </w:tcBorders>
            <w:shd w:val="clear" w:color="auto" w:fill="E7E6E6"/>
          </w:tcPr>
          <w:p>
            <w:pPr>
              <w:jc w:val="right"/>
              <w:ind w:right="65"/>
              <w:spacing w:after="0" w:line="167"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E7E6E6"/>
          </w:tcPr>
          <w:p>
            <w:pPr>
              <w:jc w:val="right"/>
              <w:spacing w:after="0" w:line="167" w:lineRule="exact"/>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E7E6E6"/>
          </w:tcPr>
          <w:p>
            <w:pPr>
              <w:jc w:val="right"/>
              <w:ind w:right="45"/>
              <w:spacing w:after="0" w:line="167" w:lineRule="exact"/>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shd w:val="clear" w:color="auto" w:fill="E7E6E6"/>
          </w:tcPr>
          <w:p>
            <w:pPr>
              <w:jc w:val="right"/>
              <w:ind w:right="185"/>
              <w:spacing w:after="0" w:line="167" w:lineRule="exact"/>
              <w:rPr>
                <w:sz w:val="20"/>
                <w:szCs w:val="20"/>
                <w:color w:val="auto"/>
              </w:rPr>
            </w:pPr>
            <w:r>
              <w:rPr>
                <w:rFonts w:ascii="Arial" w:cs="Arial" w:eastAsia="Arial" w:hAnsi="Arial"/>
                <w:sz w:val="15"/>
                <w:szCs w:val="15"/>
                <w:color w:val="auto"/>
              </w:rPr>
              <w:t>103,701</w:t>
            </w:r>
          </w:p>
        </w:tc>
        <w:tc>
          <w:tcPr>
            <w:tcW w:w="960" w:type="dxa"/>
            <w:vAlign w:val="bottom"/>
            <w:tcBorders>
              <w:bottom w:val="single" w:sz="8" w:color="auto"/>
            </w:tcBorders>
            <w:shd w:val="clear" w:color="auto" w:fill="E7E6E6"/>
          </w:tcPr>
          <w:p>
            <w:pPr>
              <w:jc w:val="right"/>
              <w:ind w:right="85"/>
              <w:spacing w:after="0" w:line="167" w:lineRule="exact"/>
              <w:rPr>
                <w:sz w:val="20"/>
                <w:szCs w:val="20"/>
                <w:color w:val="auto"/>
              </w:rPr>
            </w:pPr>
            <w:r>
              <w:rPr>
                <w:rFonts w:ascii="Arial" w:cs="Arial" w:eastAsia="Arial" w:hAnsi="Arial"/>
                <w:sz w:val="15"/>
                <w:szCs w:val="15"/>
                <w:color w:val="auto"/>
              </w:rPr>
              <w:t>508,349</w:t>
            </w:r>
          </w:p>
        </w:tc>
      </w:tr>
      <w:tr>
        <w:trPr>
          <w:trHeight w:val="167"/>
        </w:trPr>
        <w:tc>
          <w:tcPr>
            <w:tcW w:w="2140" w:type="dxa"/>
            <w:vAlign w:val="bottom"/>
            <w:tcBorders>
              <w:bottom w:val="single" w:sz="8" w:color="auto"/>
            </w:tcBorders>
          </w:tcPr>
          <w:p>
            <w:pPr>
              <w:spacing w:after="0" w:line="167" w:lineRule="exact"/>
              <w:rPr>
                <w:sz w:val="20"/>
                <w:szCs w:val="20"/>
                <w:color w:val="auto"/>
              </w:rPr>
            </w:pPr>
            <w:r>
              <w:rPr>
                <w:rFonts w:ascii="Arial" w:cs="Arial" w:eastAsia="Arial" w:hAnsi="Arial"/>
                <w:sz w:val="15"/>
                <w:szCs w:val="15"/>
                <w:color w:val="auto"/>
              </w:rPr>
              <w:t>Peter M. Carlson</w:t>
            </w:r>
          </w:p>
        </w:tc>
        <w:tc>
          <w:tcPr>
            <w:tcW w:w="2000" w:type="dxa"/>
            <w:vAlign w:val="bottom"/>
            <w:tcBorders>
              <w:bottom w:val="single" w:sz="8" w:color="auto"/>
            </w:tcBorders>
          </w:tcPr>
          <w:p>
            <w:pPr>
              <w:jc w:val="right"/>
              <w:ind w:right="325"/>
              <w:spacing w:after="0" w:line="167" w:lineRule="exact"/>
              <w:rPr>
                <w:sz w:val="20"/>
                <w:szCs w:val="20"/>
                <w:color w:val="auto"/>
              </w:rPr>
            </w:pPr>
            <w:r>
              <w:rPr>
                <w:rFonts w:ascii="Arial" w:cs="Arial" w:eastAsia="Arial" w:hAnsi="Arial"/>
                <w:sz w:val="15"/>
                <w:szCs w:val="15"/>
                <w:color w:val="auto"/>
              </w:rPr>
              <w:t>185,000</w:t>
            </w:r>
          </w:p>
        </w:tc>
        <w:tc>
          <w:tcPr>
            <w:tcW w:w="1060" w:type="dxa"/>
            <w:vAlign w:val="bottom"/>
            <w:tcBorders>
              <w:bottom w:val="single" w:sz="8" w:color="auto"/>
            </w:tcBorders>
          </w:tcPr>
          <w:p>
            <w:pPr>
              <w:jc w:val="right"/>
              <w:ind w:right="45"/>
              <w:spacing w:after="0" w:line="167" w:lineRule="exact"/>
              <w:rPr>
                <w:sz w:val="20"/>
                <w:szCs w:val="20"/>
                <w:color w:val="auto"/>
              </w:rPr>
            </w:pPr>
            <w:r>
              <w:rPr>
                <w:rFonts w:ascii="Arial" w:cs="Arial" w:eastAsia="Arial" w:hAnsi="Arial"/>
                <w:sz w:val="15"/>
                <w:szCs w:val="15"/>
                <w:color w:val="auto"/>
              </w:rPr>
              <w:t>269,648</w:t>
            </w:r>
          </w:p>
        </w:tc>
        <w:tc>
          <w:tcPr>
            <w:tcW w:w="1240" w:type="dxa"/>
            <w:vAlign w:val="bottom"/>
            <w:tcBorders>
              <w:bottom w:val="single" w:sz="8" w:color="auto"/>
            </w:tcBorders>
          </w:tcPr>
          <w:p>
            <w:pPr>
              <w:jc w:val="right"/>
              <w:ind w:right="65"/>
              <w:spacing w:after="0" w:line="167"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ind w:right="45"/>
              <w:spacing w:after="0" w:line="167" w:lineRule="exact"/>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ind w:right="185"/>
              <w:spacing w:after="0" w:line="167" w:lineRule="exact"/>
              <w:rPr>
                <w:sz w:val="20"/>
                <w:szCs w:val="20"/>
                <w:color w:val="auto"/>
              </w:rPr>
            </w:pPr>
            <w:r>
              <w:rPr>
                <w:rFonts w:ascii="Arial" w:cs="Arial" w:eastAsia="Arial" w:hAnsi="Arial"/>
                <w:sz w:val="15"/>
                <w:szCs w:val="15"/>
                <w:color w:val="auto"/>
              </w:rPr>
              <w:t>8,519</w:t>
            </w:r>
          </w:p>
        </w:tc>
        <w:tc>
          <w:tcPr>
            <w:tcW w:w="960" w:type="dxa"/>
            <w:vAlign w:val="bottom"/>
            <w:tcBorders>
              <w:bottom w:val="single" w:sz="8" w:color="auto"/>
            </w:tcBorders>
          </w:tcPr>
          <w:p>
            <w:pPr>
              <w:jc w:val="right"/>
              <w:ind w:right="85"/>
              <w:spacing w:after="0" w:line="167" w:lineRule="exact"/>
              <w:rPr>
                <w:sz w:val="20"/>
                <w:szCs w:val="20"/>
                <w:color w:val="auto"/>
              </w:rPr>
            </w:pPr>
            <w:r>
              <w:rPr>
                <w:rFonts w:ascii="Arial" w:cs="Arial" w:eastAsia="Arial" w:hAnsi="Arial"/>
                <w:sz w:val="15"/>
                <w:szCs w:val="15"/>
                <w:color w:val="auto"/>
              </w:rPr>
              <w:t>463,167</w:t>
            </w:r>
          </w:p>
        </w:tc>
      </w:tr>
      <w:tr>
        <w:trPr>
          <w:trHeight w:val="167"/>
        </w:trPr>
        <w:tc>
          <w:tcPr>
            <w:tcW w:w="2140" w:type="dxa"/>
            <w:vAlign w:val="bottom"/>
            <w:tcBorders>
              <w:bottom w:val="single" w:sz="8" w:color="auto"/>
            </w:tcBorders>
            <w:shd w:val="clear" w:color="auto" w:fill="E5E5E5"/>
          </w:tcPr>
          <w:p>
            <w:pPr>
              <w:spacing w:after="0" w:line="167" w:lineRule="exact"/>
              <w:rPr>
                <w:sz w:val="20"/>
                <w:szCs w:val="20"/>
                <w:color w:val="auto"/>
              </w:rPr>
            </w:pPr>
            <w:r>
              <w:rPr>
                <w:rFonts w:ascii="Arial" w:cs="Arial" w:eastAsia="Arial" w:hAnsi="Arial"/>
                <w:sz w:val="15"/>
                <w:szCs w:val="15"/>
                <w:color w:val="auto"/>
              </w:rPr>
              <w:t>Mary C. Choksi</w:t>
            </w:r>
          </w:p>
        </w:tc>
        <w:tc>
          <w:tcPr>
            <w:tcW w:w="2000" w:type="dxa"/>
            <w:vAlign w:val="bottom"/>
            <w:tcBorders>
              <w:bottom w:val="single" w:sz="8" w:color="auto"/>
            </w:tcBorders>
            <w:shd w:val="clear" w:color="auto" w:fill="E5E5E5"/>
          </w:tcPr>
          <w:p>
            <w:pPr>
              <w:jc w:val="right"/>
              <w:ind w:right="325"/>
              <w:spacing w:after="0" w:line="167" w:lineRule="exact"/>
              <w:rPr>
                <w:sz w:val="20"/>
                <w:szCs w:val="20"/>
                <w:color w:val="auto"/>
              </w:rPr>
            </w:pPr>
            <w:r>
              <w:rPr>
                <w:rFonts w:ascii="Arial" w:cs="Arial" w:eastAsia="Arial" w:hAnsi="Arial"/>
                <w:sz w:val="15"/>
                <w:szCs w:val="15"/>
                <w:color w:val="auto"/>
              </w:rPr>
              <w:t>160,000</w:t>
            </w:r>
          </w:p>
        </w:tc>
        <w:tc>
          <w:tcPr>
            <w:tcW w:w="1060" w:type="dxa"/>
            <w:vAlign w:val="bottom"/>
            <w:tcBorders>
              <w:bottom w:val="single" w:sz="8" w:color="auto"/>
            </w:tcBorders>
            <w:shd w:val="clear" w:color="auto" w:fill="E5E5E5"/>
          </w:tcPr>
          <w:p>
            <w:pPr>
              <w:jc w:val="right"/>
              <w:ind w:right="45"/>
              <w:spacing w:after="0" w:line="167" w:lineRule="exact"/>
              <w:rPr>
                <w:sz w:val="20"/>
                <w:szCs w:val="20"/>
                <w:color w:val="auto"/>
              </w:rPr>
            </w:pPr>
            <w:r>
              <w:rPr>
                <w:rFonts w:ascii="Arial" w:cs="Arial" w:eastAsia="Arial" w:hAnsi="Arial"/>
                <w:sz w:val="15"/>
                <w:szCs w:val="15"/>
                <w:color w:val="auto"/>
              </w:rPr>
              <w:t>269,648</w:t>
            </w:r>
          </w:p>
        </w:tc>
        <w:tc>
          <w:tcPr>
            <w:tcW w:w="1240" w:type="dxa"/>
            <w:vAlign w:val="bottom"/>
            <w:tcBorders>
              <w:bottom w:val="single" w:sz="8" w:color="auto"/>
            </w:tcBorders>
            <w:shd w:val="clear" w:color="auto" w:fill="E5E5E5"/>
          </w:tcPr>
          <w:p>
            <w:pPr>
              <w:jc w:val="right"/>
              <w:ind w:right="65"/>
              <w:spacing w:after="0" w:line="167"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E5E5E5"/>
          </w:tcPr>
          <w:p>
            <w:pPr>
              <w:jc w:val="right"/>
              <w:spacing w:after="0" w:line="167" w:lineRule="exact"/>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E5E5E5"/>
          </w:tcPr>
          <w:p>
            <w:pPr>
              <w:jc w:val="right"/>
              <w:ind w:right="45"/>
              <w:spacing w:after="0" w:line="167" w:lineRule="exact"/>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shd w:val="clear" w:color="auto" w:fill="E5E5E5"/>
          </w:tcPr>
          <w:p>
            <w:pPr>
              <w:jc w:val="right"/>
              <w:ind w:right="185"/>
              <w:spacing w:after="0" w:line="167" w:lineRule="exact"/>
              <w:rPr>
                <w:sz w:val="20"/>
                <w:szCs w:val="20"/>
                <w:color w:val="auto"/>
              </w:rPr>
            </w:pPr>
            <w:r>
              <w:rPr>
                <w:rFonts w:ascii="Arial" w:cs="Arial" w:eastAsia="Arial" w:hAnsi="Arial"/>
                <w:sz w:val="15"/>
                <w:szCs w:val="15"/>
                <w:color w:val="auto"/>
              </w:rPr>
              <w:t>10,000</w:t>
            </w:r>
          </w:p>
        </w:tc>
        <w:tc>
          <w:tcPr>
            <w:tcW w:w="960" w:type="dxa"/>
            <w:vAlign w:val="bottom"/>
            <w:tcBorders>
              <w:bottom w:val="single" w:sz="8" w:color="auto"/>
            </w:tcBorders>
            <w:shd w:val="clear" w:color="auto" w:fill="E5E5E5"/>
          </w:tcPr>
          <w:p>
            <w:pPr>
              <w:jc w:val="right"/>
              <w:ind w:right="85"/>
              <w:spacing w:after="0" w:line="167" w:lineRule="exact"/>
              <w:rPr>
                <w:sz w:val="20"/>
                <w:szCs w:val="20"/>
                <w:color w:val="auto"/>
              </w:rPr>
            </w:pPr>
            <w:r>
              <w:rPr>
                <w:rFonts w:ascii="Arial" w:cs="Arial" w:eastAsia="Arial" w:hAnsi="Arial"/>
                <w:sz w:val="15"/>
                <w:szCs w:val="15"/>
                <w:color w:val="auto"/>
              </w:rPr>
              <w:t>439,648</w:t>
            </w:r>
          </w:p>
        </w:tc>
      </w:tr>
      <w:tr>
        <w:trPr>
          <w:trHeight w:val="167"/>
        </w:trPr>
        <w:tc>
          <w:tcPr>
            <w:tcW w:w="2140" w:type="dxa"/>
            <w:vAlign w:val="bottom"/>
            <w:tcBorders>
              <w:bottom w:val="single" w:sz="8" w:color="auto"/>
            </w:tcBorders>
          </w:tcPr>
          <w:p>
            <w:pPr>
              <w:spacing w:after="0" w:line="167" w:lineRule="exact"/>
              <w:rPr>
                <w:sz w:val="20"/>
                <w:szCs w:val="20"/>
                <w:color w:val="auto"/>
              </w:rPr>
            </w:pPr>
            <w:r>
              <w:rPr>
                <w:rFonts w:ascii="Arial" w:cs="Arial" w:eastAsia="Arial" w:hAnsi="Arial"/>
                <w:sz w:val="15"/>
                <w:szCs w:val="15"/>
                <w:color w:val="auto"/>
              </w:rPr>
              <w:t>Margaret Dillon</w:t>
            </w:r>
          </w:p>
        </w:tc>
        <w:tc>
          <w:tcPr>
            <w:tcW w:w="2000" w:type="dxa"/>
            <w:vAlign w:val="bottom"/>
            <w:tcBorders>
              <w:bottom w:val="single" w:sz="8" w:color="auto"/>
            </w:tcBorders>
          </w:tcPr>
          <w:p>
            <w:pPr>
              <w:jc w:val="right"/>
              <w:ind w:right="325"/>
              <w:spacing w:after="0" w:line="167" w:lineRule="exact"/>
              <w:rPr>
                <w:sz w:val="20"/>
                <w:szCs w:val="20"/>
                <w:color w:val="auto"/>
              </w:rPr>
            </w:pPr>
            <w:r>
              <w:rPr>
                <w:rFonts w:ascii="Arial" w:cs="Arial" w:eastAsia="Arial" w:hAnsi="Arial"/>
                <w:sz w:val="15"/>
                <w:szCs w:val="15"/>
                <w:color w:val="auto"/>
              </w:rPr>
              <w:t>150,000</w:t>
            </w:r>
          </w:p>
        </w:tc>
        <w:tc>
          <w:tcPr>
            <w:tcW w:w="1060" w:type="dxa"/>
            <w:vAlign w:val="bottom"/>
            <w:tcBorders>
              <w:bottom w:val="single" w:sz="8" w:color="auto"/>
            </w:tcBorders>
          </w:tcPr>
          <w:p>
            <w:pPr>
              <w:jc w:val="right"/>
              <w:ind w:right="45"/>
              <w:spacing w:after="0" w:line="167" w:lineRule="exact"/>
              <w:rPr>
                <w:sz w:val="20"/>
                <w:szCs w:val="20"/>
                <w:color w:val="auto"/>
              </w:rPr>
            </w:pPr>
            <w:r>
              <w:rPr>
                <w:rFonts w:ascii="Arial" w:cs="Arial" w:eastAsia="Arial" w:hAnsi="Arial"/>
                <w:sz w:val="15"/>
                <w:szCs w:val="15"/>
                <w:color w:val="auto"/>
              </w:rPr>
              <w:t>269,648</w:t>
            </w:r>
          </w:p>
        </w:tc>
        <w:tc>
          <w:tcPr>
            <w:tcW w:w="1240" w:type="dxa"/>
            <w:vAlign w:val="bottom"/>
            <w:tcBorders>
              <w:bottom w:val="single" w:sz="8" w:color="auto"/>
            </w:tcBorders>
          </w:tcPr>
          <w:p>
            <w:pPr>
              <w:jc w:val="right"/>
              <w:ind w:right="65"/>
              <w:spacing w:after="0" w:line="167"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ind w:right="45"/>
              <w:spacing w:after="0" w:line="167" w:lineRule="exact"/>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ind w:right="185"/>
              <w:spacing w:after="0" w:line="167"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85"/>
              <w:spacing w:after="0" w:line="167" w:lineRule="exact"/>
              <w:rPr>
                <w:sz w:val="20"/>
                <w:szCs w:val="20"/>
                <w:color w:val="auto"/>
              </w:rPr>
            </w:pPr>
            <w:r>
              <w:rPr>
                <w:rFonts w:ascii="Arial" w:cs="Arial" w:eastAsia="Arial" w:hAnsi="Arial"/>
                <w:sz w:val="15"/>
                <w:szCs w:val="15"/>
                <w:color w:val="auto"/>
              </w:rPr>
              <w:t>419,648</w:t>
            </w:r>
          </w:p>
        </w:tc>
      </w:tr>
      <w:tr>
        <w:trPr>
          <w:trHeight w:val="167"/>
        </w:trPr>
        <w:tc>
          <w:tcPr>
            <w:tcW w:w="2140" w:type="dxa"/>
            <w:vAlign w:val="bottom"/>
            <w:tcBorders>
              <w:bottom w:val="single" w:sz="8" w:color="auto"/>
            </w:tcBorders>
            <w:shd w:val="clear" w:color="auto" w:fill="E7E6E6"/>
          </w:tcPr>
          <w:p>
            <w:pPr>
              <w:spacing w:after="0" w:line="167" w:lineRule="exact"/>
              <w:rPr>
                <w:sz w:val="20"/>
                <w:szCs w:val="20"/>
                <w:color w:val="auto"/>
              </w:rPr>
            </w:pPr>
            <w:r>
              <w:rPr>
                <w:rFonts w:ascii="Arial" w:cs="Arial" w:eastAsia="Arial" w:hAnsi="Arial"/>
                <w:sz w:val="15"/>
                <w:szCs w:val="15"/>
                <w:color w:val="auto"/>
              </w:rPr>
              <w:t>Philip A. Gelston</w:t>
            </w:r>
          </w:p>
        </w:tc>
        <w:tc>
          <w:tcPr>
            <w:tcW w:w="2000" w:type="dxa"/>
            <w:vAlign w:val="bottom"/>
            <w:tcBorders>
              <w:bottom w:val="single" w:sz="8" w:color="auto"/>
            </w:tcBorders>
            <w:shd w:val="clear" w:color="auto" w:fill="E7E6E6"/>
          </w:tcPr>
          <w:p>
            <w:pPr>
              <w:jc w:val="right"/>
              <w:ind w:right="325"/>
              <w:spacing w:after="0" w:line="167" w:lineRule="exact"/>
              <w:rPr>
                <w:sz w:val="20"/>
                <w:szCs w:val="20"/>
                <w:color w:val="auto"/>
              </w:rPr>
            </w:pPr>
            <w:r>
              <w:rPr>
                <w:rFonts w:ascii="Arial" w:cs="Arial" w:eastAsia="Arial" w:hAnsi="Arial"/>
                <w:sz w:val="15"/>
                <w:szCs w:val="15"/>
                <w:color w:val="auto"/>
              </w:rPr>
              <w:t>175,000</w:t>
            </w:r>
          </w:p>
        </w:tc>
        <w:tc>
          <w:tcPr>
            <w:tcW w:w="1060" w:type="dxa"/>
            <w:vAlign w:val="bottom"/>
            <w:tcBorders>
              <w:bottom w:val="single" w:sz="8" w:color="auto"/>
            </w:tcBorders>
            <w:shd w:val="clear" w:color="auto" w:fill="E7E6E6"/>
          </w:tcPr>
          <w:p>
            <w:pPr>
              <w:jc w:val="right"/>
              <w:ind w:right="45"/>
              <w:spacing w:after="0" w:line="167" w:lineRule="exact"/>
              <w:rPr>
                <w:sz w:val="20"/>
                <w:szCs w:val="20"/>
                <w:color w:val="auto"/>
              </w:rPr>
            </w:pPr>
            <w:r>
              <w:rPr>
                <w:rFonts w:ascii="Arial" w:cs="Arial" w:eastAsia="Arial" w:hAnsi="Arial"/>
                <w:sz w:val="15"/>
                <w:szCs w:val="15"/>
                <w:color w:val="auto"/>
              </w:rPr>
              <w:t>269,648</w:t>
            </w:r>
          </w:p>
        </w:tc>
        <w:tc>
          <w:tcPr>
            <w:tcW w:w="1240" w:type="dxa"/>
            <w:vAlign w:val="bottom"/>
            <w:tcBorders>
              <w:bottom w:val="single" w:sz="8" w:color="auto"/>
            </w:tcBorders>
            <w:shd w:val="clear" w:color="auto" w:fill="E7E6E6"/>
          </w:tcPr>
          <w:p>
            <w:pPr>
              <w:jc w:val="right"/>
              <w:ind w:right="65"/>
              <w:spacing w:after="0" w:line="167"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E7E6E6"/>
          </w:tcPr>
          <w:p>
            <w:pPr>
              <w:jc w:val="right"/>
              <w:spacing w:after="0" w:line="167" w:lineRule="exact"/>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E7E6E6"/>
          </w:tcPr>
          <w:p>
            <w:pPr>
              <w:jc w:val="right"/>
              <w:ind w:right="45"/>
              <w:spacing w:after="0" w:line="167" w:lineRule="exact"/>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shd w:val="clear" w:color="auto" w:fill="E7E6E6"/>
          </w:tcPr>
          <w:p>
            <w:pPr>
              <w:jc w:val="right"/>
              <w:ind w:right="185"/>
              <w:spacing w:after="0" w:line="167" w:lineRule="exact"/>
              <w:rPr>
                <w:sz w:val="20"/>
                <w:szCs w:val="20"/>
                <w:color w:val="auto"/>
              </w:rPr>
            </w:pPr>
            <w:r>
              <w:rPr>
                <w:rFonts w:ascii="Arial" w:cs="Arial" w:eastAsia="Arial" w:hAnsi="Arial"/>
                <w:sz w:val="15"/>
                <w:szCs w:val="15"/>
                <w:color w:val="auto"/>
              </w:rPr>
              <w:t>3,000</w:t>
            </w:r>
          </w:p>
        </w:tc>
        <w:tc>
          <w:tcPr>
            <w:tcW w:w="960" w:type="dxa"/>
            <w:vAlign w:val="bottom"/>
            <w:tcBorders>
              <w:bottom w:val="single" w:sz="8" w:color="auto"/>
            </w:tcBorders>
            <w:shd w:val="clear" w:color="auto" w:fill="E7E6E6"/>
          </w:tcPr>
          <w:p>
            <w:pPr>
              <w:jc w:val="right"/>
              <w:ind w:right="85"/>
              <w:spacing w:after="0" w:line="167" w:lineRule="exact"/>
              <w:rPr>
                <w:sz w:val="20"/>
                <w:szCs w:val="20"/>
                <w:color w:val="auto"/>
              </w:rPr>
            </w:pPr>
            <w:r>
              <w:rPr>
                <w:rFonts w:ascii="Arial" w:cs="Arial" w:eastAsia="Arial" w:hAnsi="Arial"/>
                <w:sz w:val="15"/>
                <w:szCs w:val="15"/>
                <w:color w:val="auto"/>
              </w:rPr>
              <w:t>447,648</w:t>
            </w:r>
          </w:p>
        </w:tc>
      </w:tr>
      <w:tr>
        <w:trPr>
          <w:trHeight w:val="167"/>
        </w:trPr>
        <w:tc>
          <w:tcPr>
            <w:tcW w:w="2140" w:type="dxa"/>
            <w:vAlign w:val="bottom"/>
            <w:tcBorders>
              <w:bottom w:val="single" w:sz="8" w:color="auto"/>
            </w:tcBorders>
          </w:tcPr>
          <w:p>
            <w:pPr>
              <w:spacing w:after="0" w:line="167" w:lineRule="exact"/>
              <w:rPr>
                <w:sz w:val="20"/>
                <w:szCs w:val="20"/>
                <w:color w:val="auto"/>
              </w:rPr>
            </w:pPr>
            <w:r>
              <w:rPr>
                <w:rFonts w:ascii="Arial" w:cs="Arial" w:eastAsia="Arial" w:hAnsi="Arial"/>
                <w:sz w:val="15"/>
                <w:szCs w:val="15"/>
                <w:color w:val="auto"/>
              </w:rPr>
              <w:t>Weston M. Hicks</w:t>
            </w:r>
          </w:p>
        </w:tc>
        <w:tc>
          <w:tcPr>
            <w:tcW w:w="2000" w:type="dxa"/>
            <w:vAlign w:val="bottom"/>
            <w:tcBorders>
              <w:bottom w:val="single" w:sz="8" w:color="auto"/>
            </w:tcBorders>
          </w:tcPr>
          <w:p>
            <w:pPr>
              <w:jc w:val="right"/>
              <w:ind w:right="325"/>
              <w:spacing w:after="0" w:line="167" w:lineRule="exact"/>
              <w:rPr>
                <w:sz w:val="20"/>
                <w:szCs w:val="20"/>
                <w:color w:val="auto"/>
              </w:rPr>
            </w:pPr>
            <w:r>
              <w:rPr>
                <w:rFonts w:ascii="Arial" w:cs="Arial" w:eastAsia="Arial" w:hAnsi="Arial"/>
                <w:sz w:val="15"/>
                <w:szCs w:val="15"/>
                <w:color w:val="auto"/>
              </w:rPr>
              <w:t>250,000</w:t>
            </w:r>
          </w:p>
        </w:tc>
        <w:tc>
          <w:tcPr>
            <w:tcW w:w="1060" w:type="dxa"/>
            <w:vAlign w:val="bottom"/>
            <w:tcBorders>
              <w:bottom w:val="single" w:sz="8" w:color="auto"/>
            </w:tcBorders>
          </w:tcPr>
          <w:p>
            <w:pPr>
              <w:jc w:val="right"/>
              <w:ind w:right="45"/>
              <w:spacing w:after="0" w:line="167" w:lineRule="exact"/>
              <w:rPr>
                <w:sz w:val="20"/>
                <w:szCs w:val="20"/>
                <w:color w:val="auto"/>
              </w:rPr>
            </w:pPr>
            <w:r>
              <w:rPr>
                <w:rFonts w:ascii="Arial" w:cs="Arial" w:eastAsia="Arial" w:hAnsi="Arial"/>
                <w:sz w:val="15"/>
                <w:szCs w:val="15"/>
                <w:color w:val="auto"/>
              </w:rPr>
              <w:t>377,507</w:t>
            </w:r>
          </w:p>
        </w:tc>
        <w:tc>
          <w:tcPr>
            <w:tcW w:w="1240" w:type="dxa"/>
            <w:vAlign w:val="bottom"/>
            <w:tcBorders>
              <w:bottom w:val="single" w:sz="8" w:color="auto"/>
            </w:tcBorders>
          </w:tcPr>
          <w:p>
            <w:pPr>
              <w:jc w:val="right"/>
              <w:ind w:right="65"/>
              <w:spacing w:after="0" w:line="167"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ind w:right="45"/>
              <w:spacing w:after="0" w:line="167" w:lineRule="exact"/>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ind w:right="185"/>
              <w:spacing w:after="0" w:line="167"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85"/>
              <w:spacing w:after="0" w:line="167" w:lineRule="exact"/>
              <w:rPr>
                <w:sz w:val="20"/>
                <w:szCs w:val="20"/>
                <w:color w:val="auto"/>
              </w:rPr>
            </w:pPr>
            <w:r>
              <w:rPr>
                <w:rFonts w:ascii="Arial" w:cs="Arial" w:eastAsia="Arial" w:hAnsi="Arial"/>
                <w:sz w:val="15"/>
                <w:szCs w:val="15"/>
                <w:color w:val="auto"/>
              </w:rPr>
              <w:t>627,507</w:t>
            </w:r>
          </w:p>
        </w:tc>
      </w:tr>
      <w:tr>
        <w:trPr>
          <w:trHeight w:val="167"/>
        </w:trPr>
        <w:tc>
          <w:tcPr>
            <w:tcW w:w="2140" w:type="dxa"/>
            <w:vAlign w:val="bottom"/>
            <w:tcBorders>
              <w:bottom w:val="single" w:sz="8" w:color="auto"/>
            </w:tcBorders>
            <w:shd w:val="clear" w:color="auto" w:fill="E7E6E6"/>
          </w:tcPr>
          <w:p>
            <w:pPr>
              <w:spacing w:after="0" w:line="167" w:lineRule="exact"/>
              <w:rPr>
                <w:sz w:val="20"/>
                <w:szCs w:val="20"/>
                <w:color w:val="auto"/>
              </w:rPr>
            </w:pPr>
            <w:r>
              <w:rPr>
                <w:rFonts w:ascii="Arial" w:cs="Arial" w:eastAsia="Arial" w:hAnsi="Arial"/>
                <w:sz w:val="15"/>
                <w:szCs w:val="15"/>
                <w:color w:val="auto"/>
              </w:rPr>
              <w:t>Suzanne F. Shank</w:t>
            </w:r>
          </w:p>
        </w:tc>
        <w:tc>
          <w:tcPr>
            <w:tcW w:w="2000" w:type="dxa"/>
            <w:vAlign w:val="bottom"/>
            <w:tcBorders>
              <w:bottom w:val="single" w:sz="8" w:color="auto"/>
            </w:tcBorders>
            <w:shd w:val="clear" w:color="auto" w:fill="E7E6E6"/>
          </w:tcPr>
          <w:p>
            <w:pPr>
              <w:jc w:val="right"/>
              <w:ind w:right="325"/>
              <w:spacing w:after="0" w:line="167" w:lineRule="exact"/>
              <w:rPr>
                <w:sz w:val="20"/>
                <w:szCs w:val="20"/>
                <w:color w:val="auto"/>
              </w:rPr>
            </w:pPr>
            <w:r>
              <w:rPr>
                <w:rFonts w:ascii="Arial" w:cs="Arial" w:eastAsia="Arial" w:hAnsi="Arial"/>
                <w:sz w:val="15"/>
                <w:szCs w:val="15"/>
                <w:color w:val="auto"/>
              </w:rPr>
              <w:t>135,000</w:t>
            </w:r>
          </w:p>
        </w:tc>
        <w:tc>
          <w:tcPr>
            <w:tcW w:w="1060" w:type="dxa"/>
            <w:vAlign w:val="bottom"/>
            <w:tcBorders>
              <w:bottom w:val="single" w:sz="8" w:color="auto"/>
            </w:tcBorders>
            <w:shd w:val="clear" w:color="auto" w:fill="E7E6E6"/>
          </w:tcPr>
          <w:p>
            <w:pPr>
              <w:jc w:val="right"/>
              <w:ind w:right="45"/>
              <w:spacing w:after="0" w:line="167" w:lineRule="exact"/>
              <w:rPr>
                <w:sz w:val="20"/>
                <w:szCs w:val="20"/>
                <w:color w:val="auto"/>
              </w:rPr>
            </w:pPr>
            <w:r>
              <w:rPr>
                <w:rFonts w:ascii="Arial" w:cs="Arial" w:eastAsia="Arial" w:hAnsi="Arial"/>
                <w:sz w:val="15"/>
                <w:szCs w:val="15"/>
                <w:color w:val="auto"/>
              </w:rPr>
              <w:t>269,648</w:t>
            </w:r>
          </w:p>
        </w:tc>
        <w:tc>
          <w:tcPr>
            <w:tcW w:w="1240" w:type="dxa"/>
            <w:vAlign w:val="bottom"/>
            <w:tcBorders>
              <w:bottom w:val="single" w:sz="8" w:color="auto"/>
            </w:tcBorders>
            <w:shd w:val="clear" w:color="auto" w:fill="E7E6E6"/>
          </w:tcPr>
          <w:p>
            <w:pPr>
              <w:jc w:val="right"/>
              <w:ind w:right="65"/>
              <w:spacing w:after="0" w:line="167"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E7E6E6"/>
          </w:tcPr>
          <w:p>
            <w:pPr>
              <w:jc w:val="right"/>
              <w:spacing w:after="0" w:line="167" w:lineRule="exact"/>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E7E6E6"/>
          </w:tcPr>
          <w:p>
            <w:pPr>
              <w:jc w:val="right"/>
              <w:ind w:right="45"/>
              <w:spacing w:after="0" w:line="167" w:lineRule="exact"/>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shd w:val="clear" w:color="auto" w:fill="E7E6E6"/>
          </w:tcPr>
          <w:p>
            <w:pPr>
              <w:jc w:val="right"/>
              <w:ind w:right="185"/>
              <w:spacing w:after="0" w:line="167"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E7E6E6"/>
          </w:tcPr>
          <w:p>
            <w:pPr>
              <w:jc w:val="right"/>
              <w:ind w:right="85"/>
              <w:spacing w:after="0" w:line="167" w:lineRule="exact"/>
              <w:rPr>
                <w:sz w:val="20"/>
                <w:szCs w:val="20"/>
                <w:color w:val="auto"/>
              </w:rPr>
            </w:pPr>
            <w:r>
              <w:rPr>
                <w:rFonts w:ascii="Arial" w:cs="Arial" w:eastAsia="Arial" w:hAnsi="Arial"/>
                <w:sz w:val="15"/>
                <w:szCs w:val="15"/>
                <w:color w:val="auto"/>
              </w:rPr>
              <w:t>404,648</w:t>
            </w:r>
          </w:p>
        </w:tc>
      </w:tr>
      <w:tr>
        <w:trPr>
          <w:trHeight w:val="167"/>
        </w:trPr>
        <w:tc>
          <w:tcPr>
            <w:tcW w:w="2140" w:type="dxa"/>
            <w:vAlign w:val="bottom"/>
            <w:tcBorders>
              <w:bottom w:val="single" w:sz="8" w:color="auto"/>
            </w:tcBorders>
          </w:tcPr>
          <w:p>
            <w:pPr>
              <w:spacing w:after="0" w:line="167" w:lineRule="exact"/>
              <w:rPr>
                <w:sz w:val="20"/>
                <w:szCs w:val="20"/>
                <w:color w:val="auto"/>
              </w:rPr>
            </w:pPr>
            <w:r>
              <w:rPr>
                <w:rFonts w:ascii="Arial" w:cs="Arial" w:eastAsia="Arial" w:hAnsi="Arial"/>
                <w:sz w:val="15"/>
                <w:szCs w:val="15"/>
                <w:color w:val="auto"/>
              </w:rPr>
              <w:t>David A. Tanner</w:t>
            </w:r>
          </w:p>
        </w:tc>
        <w:tc>
          <w:tcPr>
            <w:tcW w:w="2000" w:type="dxa"/>
            <w:vAlign w:val="bottom"/>
            <w:tcBorders>
              <w:bottom w:val="single" w:sz="8" w:color="auto"/>
            </w:tcBorders>
          </w:tcPr>
          <w:p>
            <w:pPr>
              <w:jc w:val="right"/>
              <w:ind w:right="325"/>
              <w:spacing w:after="0" w:line="167" w:lineRule="exact"/>
              <w:rPr>
                <w:sz w:val="20"/>
                <w:szCs w:val="20"/>
                <w:color w:val="auto"/>
              </w:rPr>
            </w:pPr>
            <w:r>
              <w:rPr>
                <w:rFonts w:ascii="Arial" w:cs="Arial" w:eastAsia="Arial" w:hAnsi="Arial"/>
                <w:sz w:val="15"/>
                <w:szCs w:val="15"/>
                <w:color w:val="auto"/>
              </w:rPr>
              <w:t>150,000</w:t>
            </w:r>
          </w:p>
        </w:tc>
        <w:tc>
          <w:tcPr>
            <w:tcW w:w="1060" w:type="dxa"/>
            <w:vAlign w:val="bottom"/>
            <w:tcBorders>
              <w:bottom w:val="single" w:sz="8" w:color="auto"/>
            </w:tcBorders>
          </w:tcPr>
          <w:p>
            <w:pPr>
              <w:jc w:val="right"/>
              <w:ind w:right="45"/>
              <w:spacing w:after="0" w:line="167" w:lineRule="exact"/>
              <w:rPr>
                <w:sz w:val="20"/>
                <w:szCs w:val="20"/>
                <w:color w:val="auto"/>
              </w:rPr>
            </w:pPr>
            <w:r>
              <w:rPr>
                <w:rFonts w:ascii="Arial" w:cs="Arial" w:eastAsia="Arial" w:hAnsi="Arial"/>
                <w:sz w:val="15"/>
                <w:szCs w:val="15"/>
                <w:color w:val="auto"/>
              </w:rPr>
              <w:t>269,648</w:t>
            </w:r>
          </w:p>
        </w:tc>
        <w:tc>
          <w:tcPr>
            <w:tcW w:w="1240" w:type="dxa"/>
            <w:vAlign w:val="bottom"/>
            <w:tcBorders>
              <w:bottom w:val="single" w:sz="8" w:color="auto"/>
            </w:tcBorders>
          </w:tcPr>
          <w:p>
            <w:pPr>
              <w:jc w:val="right"/>
              <w:ind w:right="65"/>
              <w:spacing w:after="0" w:line="167"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ind w:right="45"/>
              <w:spacing w:after="0" w:line="167" w:lineRule="exact"/>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ind w:right="185"/>
              <w:spacing w:after="0" w:line="167"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85"/>
              <w:spacing w:after="0" w:line="167" w:lineRule="exact"/>
              <w:rPr>
                <w:sz w:val="20"/>
                <w:szCs w:val="20"/>
                <w:color w:val="auto"/>
              </w:rPr>
            </w:pPr>
            <w:r>
              <w:rPr>
                <w:rFonts w:ascii="Arial" w:cs="Arial" w:eastAsia="Arial" w:hAnsi="Arial"/>
                <w:sz w:val="15"/>
                <w:szCs w:val="15"/>
                <w:color w:val="auto"/>
              </w:rPr>
              <w:t>419,648</w:t>
            </w:r>
          </w:p>
        </w:tc>
      </w:tr>
      <w:tr>
        <w:trPr>
          <w:trHeight w:val="167"/>
        </w:trPr>
        <w:tc>
          <w:tcPr>
            <w:tcW w:w="2140" w:type="dxa"/>
            <w:vAlign w:val="bottom"/>
            <w:tcBorders>
              <w:bottom w:val="single" w:sz="8" w:color="auto"/>
            </w:tcBorders>
            <w:shd w:val="clear" w:color="auto" w:fill="E7E6E6"/>
          </w:tcPr>
          <w:p>
            <w:pPr>
              <w:spacing w:after="0" w:line="167" w:lineRule="exact"/>
              <w:rPr>
                <w:sz w:val="20"/>
                <w:szCs w:val="20"/>
                <w:color w:val="auto"/>
              </w:rPr>
            </w:pPr>
            <w:r>
              <w:rPr>
                <w:rFonts w:ascii="Arial" w:cs="Arial" w:eastAsia="Arial" w:hAnsi="Arial"/>
                <w:sz w:val="15"/>
                <w:szCs w:val="15"/>
                <w:color w:val="auto"/>
              </w:rPr>
              <w:t>Steven M. Yi</w:t>
            </w:r>
          </w:p>
        </w:tc>
        <w:tc>
          <w:tcPr>
            <w:tcW w:w="2000" w:type="dxa"/>
            <w:vAlign w:val="bottom"/>
            <w:tcBorders>
              <w:bottom w:val="single" w:sz="8" w:color="auto"/>
            </w:tcBorders>
            <w:shd w:val="clear" w:color="auto" w:fill="E7E6E6"/>
          </w:tcPr>
          <w:p>
            <w:pPr>
              <w:jc w:val="right"/>
              <w:ind w:right="325"/>
              <w:spacing w:after="0" w:line="167" w:lineRule="exact"/>
              <w:rPr>
                <w:sz w:val="20"/>
                <w:szCs w:val="20"/>
                <w:color w:val="auto"/>
              </w:rPr>
            </w:pPr>
            <w:r>
              <w:rPr>
                <w:rFonts w:ascii="Arial" w:cs="Arial" w:eastAsia="Arial" w:hAnsi="Arial"/>
                <w:sz w:val="15"/>
                <w:szCs w:val="15"/>
                <w:color w:val="auto"/>
              </w:rPr>
              <w:t>135,000</w:t>
            </w:r>
          </w:p>
        </w:tc>
        <w:tc>
          <w:tcPr>
            <w:tcW w:w="1060" w:type="dxa"/>
            <w:vAlign w:val="bottom"/>
            <w:tcBorders>
              <w:bottom w:val="single" w:sz="8" w:color="auto"/>
            </w:tcBorders>
            <w:shd w:val="clear" w:color="auto" w:fill="E7E6E6"/>
          </w:tcPr>
          <w:p>
            <w:pPr>
              <w:jc w:val="right"/>
              <w:ind w:right="45"/>
              <w:spacing w:after="0" w:line="167" w:lineRule="exact"/>
              <w:rPr>
                <w:sz w:val="20"/>
                <w:szCs w:val="20"/>
                <w:color w:val="auto"/>
              </w:rPr>
            </w:pPr>
            <w:r>
              <w:rPr>
                <w:rFonts w:ascii="Arial" w:cs="Arial" w:eastAsia="Arial" w:hAnsi="Arial"/>
                <w:sz w:val="15"/>
                <w:szCs w:val="15"/>
                <w:color w:val="auto"/>
              </w:rPr>
              <w:t>269,648</w:t>
            </w:r>
          </w:p>
        </w:tc>
        <w:tc>
          <w:tcPr>
            <w:tcW w:w="1240" w:type="dxa"/>
            <w:vAlign w:val="bottom"/>
            <w:tcBorders>
              <w:bottom w:val="single" w:sz="8" w:color="auto"/>
            </w:tcBorders>
            <w:shd w:val="clear" w:color="auto" w:fill="E7E6E6"/>
          </w:tcPr>
          <w:p>
            <w:pPr>
              <w:jc w:val="right"/>
              <w:ind w:right="65"/>
              <w:spacing w:after="0" w:line="167"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E7E6E6"/>
          </w:tcPr>
          <w:p>
            <w:pPr>
              <w:jc w:val="right"/>
              <w:spacing w:after="0" w:line="167" w:lineRule="exact"/>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E7E6E6"/>
          </w:tcPr>
          <w:p>
            <w:pPr>
              <w:jc w:val="right"/>
              <w:ind w:right="45"/>
              <w:spacing w:after="0" w:line="167" w:lineRule="exact"/>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shd w:val="clear" w:color="auto" w:fill="E7E6E6"/>
          </w:tcPr>
          <w:p>
            <w:pPr>
              <w:jc w:val="right"/>
              <w:ind w:right="185"/>
              <w:spacing w:after="0" w:line="167"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E7E6E6"/>
          </w:tcPr>
          <w:p>
            <w:pPr>
              <w:jc w:val="right"/>
              <w:ind w:right="85"/>
              <w:spacing w:after="0" w:line="167" w:lineRule="exact"/>
              <w:rPr>
                <w:sz w:val="20"/>
                <w:szCs w:val="20"/>
                <w:color w:val="auto"/>
              </w:rPr>
            </w:pPr>
            <w:r>
              <w:rPr>
                <w:rFonts w:ascii="Arial" w:cs="Arial" w:eastAsia="Arial" w:hAnsi="Arial"/>
                <w:sz w:val="15"/>
                <w:szCs w:val="15"/>
                <w:color w:val="auto"/>
              </w:rPr>
              <w:t>404,648</w:t>
            </w:r>
          </w:p>
        </w:tc>
      </w:tr>
    </w:tbl>
    <w:p>
      <w:pPr>
        <w:spacing w:after="0" w:line="162" w:lineRule="exact"/>
        <w:rPr>
          <w:sz w:val="20"/>
          <w:szCs w:val="20"/>
          <w:color w:val="auto"/>
        </w:rPr>
      </w:pPr>
    </w:p>
    <w:p>
      <w:pPr>
        <w:ind w:left="300" w:right="100" w:hanging="300"/>
        <w:spacing w:after="0" w:line="253" w:lineRule="auto"/>
        <w:tabs>
          <w:tab w:leader="none" w:pos="3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Mr. Rountree does not receive any additional compensation for his role as a director. Non-management directors receive an annual cash retainer of $135,000. Additional retainers in the following amounts are provided to those directors serving in the following roles: Chairman of the Board ($100,000), Chairman of the Audit Committee ($35,000), Chairman of any other Board committee ($25,000) and members of the Audit Committee ($15,000). Retainers were all paid in cash. Retainers relate to the period from May 2025 to May 2026, inclusive, and are typically pro-rated for partial year service.</w:t>
      </w:r>
    </w:p>
    <w:p>
      <w:pPr>
        <w:spacing w:after="0" w:line="143" w:lineRule="exact"/>
        <w:rPr>
          <w:rFonts w:ascii="Arial" w:cs="Arial" w:eastAsia="Arial" w:hAnsi="Arial"/>
          <w:sz w:val="15"/>
          <w:szCs w:val="15"/>
          <w:color w:val="auto"/>
        </w:rPr>
      </w:pPr>
    </w:p>
    <w:p>
      <w:pPr>
        <w:ind w:left="300" w:right="60" w:hanging="300"/>
        <w:spacing w:after="0" w:line="276" w:lineRule="auto"/>
        <w:tabs>
          <w:tab w:leader="none" w:pos="3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On May 22, 2025, all non-management directors received an annual grant of 150 common shares. Mr. Hicks received an additional 60 common shares for his role as Chairman of the Board. All common shares issued were valued at $1,797.65 per share, the market price on the date the shares were granted.</w:t>
      </w:r>
    </w:p>
    <w:p>
      <w:pPr>
        <w:spacing w:after="0" w:line="125" w:lineRule="exact"/>
        <w:rPr>
          <w:rFonts w:ascii="Arial" w:cs="Arial" w:eastAsia="Arial" w:hAnsi="Arial"/>
          <w:sz w:val="15"/>
          <w:szCs w:val="15"/>
          <w:color w:val="auto"/>
        </w:rPr>
      </w:pPr>
    </w:p>
    <w:p>
      <w:pPr>
        <w:ind w:left="300" w:right="300" w:hanging="300"/>
        <w:spacing w:after="0" w:line="253" w:lineRule="auto"/>
        <w:tabs>
          <w:tab w:leader="none" w:pos="3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Amount shown for Mr. Campbell represents $80,000 in fees paid to him by Ark for service as a director, $7,500 in matching payments from a company-sponsored charitable gift program and $16,201 incremental cost to the Company for the use of corporate aircraft that were not otherwise in use for business. For Company aircraft, the incremental cost is the cost per hour multiplied by the number of hours of use. Amounts shown for Mr. Carlson, Ms. Choksi and Mr. Gelston represent matching payments from a company-sponsored charitable gift program.</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color w:val="auto"/>
        </w:rPr>
        <w:t>CEO PAY RATIO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191" w:lineRule="exact"/>
        <w:rPr>
          <w:sz w:val="20"/>
          <w:szCs w:val="20"/>
          <w:color w:val="auto"/>
        </w:rPr>
      </w:pPr>
    </w:p>
    <w:p>
      <w:pPr>
        <w:ind w:right="100" w:firstLine="299"/>
        <w:spacing w:after="0" w:line="250" w:lineRule="auto"/>
        <w:rPr>
          <w:sz w:val="20"/>
          <w:szCs w:val="20"/>
          <w:color w:val="auto"/>
        </w:rPr>
      </w:pPr>
      <w:r>
        <w:rPr>
          <w:rFonts w:ascii="Arial" w:cs="Arial" w:eastAsia="Arial" w:hAnsi="Arial"/>
          <w:sz w:val="18"/>
          <w:szCs w:val="18"/>
          <w:color w:val="auto"/>
        </w:rPr>
        <w:t>Below is (i) the 2025 annual total compensation of our CEO; (ii) the 2025 annual total compensation of our median employee; (iii) the ratio of the annual total compensation of our CEO to that of our median employee, and (iv) the methodology we used to calculate our 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1785620</wp:posOffset>
            </wp:positionH>
            <wp:positionV relativeFrom="paragraph">
              <wp:posOffset>108585</wp:posOffset>
            </wp:positionV>
            <wp:extent cx="357124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571240" cy="7620"/>
                    </a:xfrm>
                    <a:prstGeom prst="rect">
                      <a:avLst/>
                    </a:prstGeom>
                    <a:noFill/>
                  </pic:spPr>
                </pic:pic>
              </a:graphicData>
            </a:graphic>
          </wp:anchor>
        </w:drawing>
      </w:r>
    </w:p>
    <w:p>
      <w:pPr>
        <w:spacing w:after="0" w:line="221" w:lineRule="exact"/>
        <w:rPr>
          <w:sz w:val="20"/>
          <w:szCs w:val="20"/>
          <w:color w:val="auto"/>
        </w:rPr>
      </w:pPr>
    </w:p>
    <w:tbl>
      <w:tblPr>
        <w:tblLayout w:type="fixed"/>
        <w:tblInd w:w="2820" w:type="dxa"/>
        <w:tblCellMar>
          <w:top w:w="0" w:type="dxa"/>
          <w:left w:w="0" w:type="dxa"/>
          <w:bottom w:w="0" w:type="dxa"/>
          <w:right w:w="0" w:type="dxa"/>
        </w:tblCellMar>
      </w:tblPr>
      <w:tr>
        <w:trPr>
          <w:trHeight w:val="218"/>
        </w:trPr>
        <w:tc>
          <w:tcPr>
            <w:tcW w:w="4080" w:type="dxa"/>
            <w:vAlign w:val="bottom"/>
          </w:tcPr>
          <w:p>
            <w:pPr>
              <w:spacing w:after="0"/>
              <w:rPr>
                <w:sz w:val="20"/>
                <w:szCs w:val="20"/>
                <w:color w:val="auto"/>
              </w:rPr>
            </w:pPr>
            <w:r>
              <w:rPr>
                <w:rFonts w:ascii="Arial" w:cs="Arial" w:eastAsia="Arial" w:hAnsi="Arial"/>
                <w:sz w:val="17"/>
                <w:szCs w:val="17"/>
                <w:color w:val="auto"/>
              </w:rPr>
              <w:t>CEO Annual Total Compensation</w:t>
            </w:r>
          </w:p>
        </w:tc>
        <w:tc>
          <w:tcPr>
            <w:tcW w:w="1540" w:type="dxa"/>
            <w:vAlign w:val="bottom"/>
          </w:tcPr>
          <w:p>
            <w:pPr>
              <w:jc w:val="right"/>
              <w:spacing w:after="0"/>
              <w:rPr>
                <w:sz w:val="20"/>
                <w:szCs w:val="20"/>
                <w:color w:val="auto"/>
              </w:rPr>
            </w:pPr>
            <w:r>
              <w:rPr>
                <w:rFonts w:ascii="Arial" w:cs="Arial" w:eastAsia="Arial" w:hAnsi="Arial"/>
                <w:sz w:val="17"/>
                <w:szCs w:val="17"/>
                <w:color w:val="auto"/>
              </w:rPr>
              <w:t>$8,064,309</w:t>
            </w:r>
          </w:p>
        </w:tc>
      </w:tr>
      <w:tr>
        <w:trPr>
          <w:trHeight w:val="311"/>
        </w:trPr>
        <w:tc>
          <w:tcPr>
            <w:tcW w:w="4080" w:type="dxa"/>
            <w:vAlign w:val="bottom"/>
          </w:tcPr>
          <w:p>
            <w:pPr>
              <w:spacing w:after="0"/>
              <w:rPr>
                <w:sz w:val="20"/>
                <w:szCs w:val="20"/>
                <w:color w:val="auto"/>
              </w:rPr>
            </w:pPr>
            <w:r>
              <w:rPr>
                <w:rFonts w:ascii="Arial" w:cs="Arial" w:eastAsia="Arial" w:hAnsi="Arial"/>
                <w:sz w:val="17"/>
                <w:szCs w:val="17"/>
                <w:color w:val="auto"/>
              </w:rPr>
              <w:t>Median Employee Annual Total Compensation</w:t>
            </w:r>
          </w:p>
        </w:tc>
        <w:tc>
          <w:tcPr>
            <w:tcW w:w="1540" w:type="dxa"/>
            <w:vAlign w:val="bottom"/>
          </w:tcPr>
          <w:p>
            <w:pPr>
              <w:jc w:val="right"/>
              <w:spacing w:after="0"/>
              <w:rPr>
                <w:sz w:val="20"/>
                <w:szCs w:val="20"/>
                <w:color w:val="auto"/>
              </w:rPr>
            </w:pPr>
            <w:r>
              <w:rPr>
                <w:rFonts w:ascii="Arial" w:cs="Arial" w:eastAsia="Arial" w:hAnsi="Arial"/>
                <w:sz w:val="17"/>
                <w:szCs w:val="17"/>
                <w:color w:val="auto"/>
              </w:rPr>
              <w:t>$117,549</w:t>
            </w:r>
          </w:p>
        </w:tc>
      </w:tr>
      <w:tr>
        <w:trPr>
          <w:trHeight w:val="324"/>
        </w:trPr>
        <w:tc>
          <w:tcPr>
            <w:tcW w:w="4080" w:type="dxa"/>
            <w:vAlign w:val="bottom"/>
          </w:tcPr>
          <w:p>
            <w:pPr>
              <w:spacing w:after="0"/>
              <w:rPr>
                <w:sz w:val="20"/>
                <w:szCs w:val="20"/>
                <w:color w:val="auto"/>
              </w:rPr>
            </w:pPr>
            <w:r>
              <w:rPr>
                <w:rFonts w:ascii="Arial" w:cs="Arial" w:eastAsia="Arial" w:hAnsi="Arial"/>
                <w:sz w:val="17"/>
                <w:szCs w:val="17"/>
                <w:color w:val="auto"/>
              </w:rPr>
              <w:t>CEO to Median Employee Pay Ratio</w:t>
            </w:r>
          </w:p>
        </w:tc>
        <w:tc>
          <w:tcPr>
            <w:tcW w:w="1540" w:type="dxa"/>
            <w:vAlign w:val="bottom"/>
          </w:tcPr>
          <w:p>
            <w:pPr>
              <w:jc w:val="right"/>
              <w:spacing w:after="0"/>
              <w:rPr>
                <w:sz w:val="20"/>
                <w:szCs w:val="20"/>
                <w:color w:val="auto"/>
              </w:rPr>
            </w:pPr>
            <w:r>
              <w:rPr>
                <w:rFonts w:ascii="Arial" w:cs="Arial" w:eastAsia="Arial" w:hAnsi="Arial"/>
                <w:sz w:val="17"/>
                <w:szCs w:val="17"/>
                <w:color w:val="auto"/>
              </w:rPr>
              <w:t>69:1</w:t>
            </w:r>
          </w:p>
        </w:tc>
      </w:tr>
      <w:tr>
        <w:trPr>
          <w:trHeight w:val="35"/>
        </w:trPr>
        <w:tc>
          <w:tcPr>
            <w:tcW w:w="40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Methodology</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CEO pay ratio is a reasonable estimate calculated in a manner consistent with SEC rules. Our methodology is explained below:</w:t>
      </w:r>
    </w:p>
    <w:p>
      <w:pPr>
        <w:spacing w:after="0" w:line="191" w:lineRule="exact"/>
        <w:rPr>
          <w:sz w:val="20"/>
          <w:szCs w:val="20"/>
          <w:color w:val="auto"/>
        </w:rPr>
      </w:pPr>
    </w:p>
    <w:p>
      <w:pPr>
        <w:ind w:left="600" w:right="240" w:hanging="302"/>
        <w:spacing w:after="0" w:line="275" w:lineRule="auto"/>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Determined Employee Population. </w:t>
      </w:r>
      <w:r>
        <w:rPr>
          <w:rFonts w:ascii="Arial" w:cs="Arial" w:eastAsia="Arial" w:hAnsi="Arial"/>
          <w:sz w:val="18"/>
          <w:szCs w:val="18"/>
          <w:color w:val="auto"/>
        </w:rPr>
        <w:t>We began with our global employee population as of December 31, 2025, including full-time</w:t>
      </w:r>
      <w:r>
        <w:rPr>
          <w:rFonts w:ascii="Arial" w:cs="Arial" w:eastAsia="Arial" w:hAnsi="Arial"/>
          <w:sz w:val="18"/>
          <w:szCs w:val="18"/>
          <w:b w:val="1"/>
          <w:bCs w:val="1"/>
          <w:color w:val="auto"/>
        </w:rPr>
        <w:t xml:space="preserve"> </w:t>
      </w:r>
      <w:r>
        <w:rPr>
          <w:rFonts w:ascii="Arial" w:cs="Arial" w:eastAsia="Arial" w:hAnsi="Arial"/>
          <w:sz w:val="18"/>
          <w:szCs w:val="18"/>
          <w:color w:val="auto"/>
        </w:rPr>
        <w:t>and part-time workers employed by our Company or consolidated subsidiaries</w:t>
      </w:r>
      <w:r>
        <w:rPr>
          <w:rFonts w:ascii="Arial" w:cs="Arial" w:eastAsia="Arial" w:hAnsi="Arial"/>
          <w:sz w:val="30"/>
          <w:szCs w:val="30"/>
          <w:color w:val="auto"/>
          <w:vertAlign w:val="superscript"/>
        </w:rPr>
        <w:t>(a)</w:t>
      </w:r>
      <w:r>
        <w:rPr>
          <w:rFonts w:ascii="Arial" w:cs="Arial" w:eastAsia="Arial" w:hAnsi="Arial"/>
          <w:sz w:val="18"/>
          <w:szCs w:val="18"/>
          <w:color w:val="auto"/>
        </w:rPr>
        <w:t>, but excluding our CEO.</w:t>
      </w:r>
    </w:p>
    <w:p>
      <w:pPr>
        <w:spacing w:after="0" w:line="2" w:lineRule="exact"/>
        <w:rPr>
          <w:rFonts w:ascii="Arial" w:cs="Arial" w:eastAsia="Arial" w:hAnsi="Arial"/>
          <w:sz w:val="18"/>
          <w:szCs w:val="18"/>
          <w:color w:val="auto"/>
        </w:rPr>
      </w:pPr>
    </w:p>
    <w:p>
      <w:pPr>
        <w:ind w:left="600" w:right="380" w:hanging="302"/>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Identified the Median Employee. </w:t>
      </w:r>
      <w:r>
        <w:rPr>
          <w:rFonts w:ascii="Arial" w:cs="Arial" w:eastAsia="Arial" w:hAnsi="Arial"/>
          <w:sz w:val="18"/>
          <w:szCs w:val="18"/>
          <w:color w:val="auto"/>
        </w:rPr>
        <w:t>To identify the median employee, we calculated compensation for each employee using (i)</w:t>
      </w:r>
      <w:r>
        <w:rPr>
          <w:rFonts w:ascii="Arial" w:cs="Arial" w:eastAsia="Arial" w:hAnsi="Arial"/>
          <w:sz w:val="18"/>
          <w:szCs w:val="18"/>
          <w:b w:val="1"/>
          <w:bCs w:val="1"/>
          <w:color w:val="auto"/>
        </w:rPr>
        <w:t xml:space="preserve"> </w:t>
      </w:r>
      <w:r>
        <w:rPr>
          <w:rFonts w:ascii="Arial" w:cs="Arial" w:eastAsia="Arial" w:hAnsi="Arial"/>
          <w:sz w:val="18"/>
          <w:szCs w:val="18"/>
          <w:color w:val="auto"/>
        </w:rPr>
        <w:t>annual base salary including overtime pay as of December 31, 2025, (ii) cash incentives earned in 2025, (iii) WTM performance shares and WTM performance units vested on December 31, 2025, and (iv) WTM restricted shares vested on January 1, 2026. Compensation paid in foreign currency was translated to the U.S. dollar equivalent based on foreign exchange rates as of December 31, 2025.</w:t>
      </w:r>
    </w:p>
    <w:p>
      <w:pPr>
        <w:spacing w:after="0" w:line="147" w:lineRule="exact"/>
        <w:rPr>
          <w:rFonts w:ascii="Arial" w:cs="Arial" w:eastAsia="Arial" w:hAnsi="Arial"/>
          <w:sz w:val="18"/>
          <w:szCs w:val="18"/>
          <w:color w:val="auto"/>
        </w:rPr>
      </w:pPr>
    </w:p>
    <w:p>
      <w:pPr>
        <w:jc w:val="both"/>
        <w:ind w:left="600" w:right="280" w:hanging="302"/>
        <w:spacing w:after="0" w:line="250" w:lineRule="auto"/>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Calculated CEO Pay Ratio. </w:t>
      </w:r>
      <w:r>
        <w:rPr>
          <w:rFonts w:ascii="Arial" w:cs="Arial" w:eastAsia="Arial" w:hAnsi="Arial"/>
          <w:sz w:val="18"/>
          <w:szCs w:val="18"/>
          <w:color w:val="auto"/>
        </w:rPr>
        <w:t>We calculated our median employee’s annual total compensation for 2025 in accordance with SEC</w:t>
      </w:r>
      <w:r>
        <w:rPr>
          <w:rFonts w:ascii="Arial" w:cs="Arial" w:eastAsia="Arial" w:hAnsi="Arial"/>
          <w:sz w:val="18"/>
          <w:szCs w:val="18"/>
          <w:b w:val="1"/>
          <w:bCs w:val="1"/>
          <w:color w:val="auto"/>
        </w:rPr>
        <w:t xml:space="preserve"> </w:t>
      </w:r>
      <w:r>
        <w:rPr>
          <w:rFonts w:ascii="Arial" w:cs="Arial" w:eastAsia="Arial" w:hAnsi="Arial"/>
          <w:sz w:val="18"/>
          <w:szCs w:val="18"/>
          <w:color w:val="auto"/>
        </w:rPr>
        <w:t>rules for preparing the Summary Compensation Table. We compared the median employee’s compensation to our CEO’s annual total compensation in the Summary Compensation Table to determine the pay ratio shown above.</w:t>
      </w:r>
    </w:p>
    <w:p>
      <w:pPr>
        <w:spacing w:after="0" w:line="163" w:lineRule="exact"/>
        <w:rPr>
          <w:rFonts w:ascii="Arial" w:cs="Arial" w:eastAsia="Arial" w:hAnsi="Arial"/>
          <w:sz w:val="18"/>
          <w:szCs w:val="18"/>
          <w:color w:val="auto"/>
        </w:rPr>
      </w:pPr>
    </w:p>
    <w:p>
      <w:pPr>
        <w:ind w:left="900" w:hanging="303"/>
        <w:spacing w:after="0" w:line="279" w:lineRule="auto"/>
        <w:tabs>
          <w:tab w:leader="none" w:pos="900" w:val="left"/>
        </w:tabs>
        <w:numPr>
          <w:ilvl w:val="1"/>
          <w:numId w:val="36"/>
        </w:numPr>
        <w:rPr>
          <w:rFonts w:ascii="Arial" w:cs="Arial" w:eastAsia="Arial" w:hAnsi="Arial"/>
          <w:sz w:val="13"/>
          <w:szCs w:val="13"/>
          <w:color w:val="auto"/>
        </w:rPr>
      </w:pPr>
      <w:r>
        <w:rPr>
          <w:rFonts w:ascii="Arial" w:cs="Arial" w:eastAsia="Arial" w:hAnsi="Arial"/>
          <w:sz w:val="13"/>
          <w:szCs w:val="13"/>
          <w:color w:val="auto"/>
        </w:rPr>
        <w:t>SEC rules permit us to omit the employees of a newly-acquired business from the pay ratio calculation for the fiscal year in which the acquisition occurs. Accordingly, the 624 employees at Enterprise Solutions as of December 31, 2025 were excluded from the employee population.</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790" w:right="339" w:bottom="1440" w:gutter="0" w:footer="0" w:header="0"/>
        </w:sectPr>
      </w:pPr>
    </w:p>
    <w:bookmarkStart w:id="58" w:name="page59"/>
    <w:bookmarkEnd w:id="58"/>
    <w:p>
      <w:pPr>
        <w:ind w:right="1480" w:firstLine="1526"/>
        <w:spacing w:after="0" w:line="461" w:lineRule="auto"/>
        <w:rPr>
          <w:sz w:val="20"/>
          <w:szCs w:val="20"/>
          <w:color w:val="auto"/>
        </w:rPr>
      </w:pPr>
      <w:r>
        <w:rPr>
          <w:rFonts w:ascii="Arial" w:cs="Arial" w:eastAsia="Arial" w:hAnsi="Arial"/>
          <w:sz w:val="18"/>
          <w:szCs w:val="18"/>
          <w:color w:val="auto"/>
        </w:rPr>
        <w:t xml:space="preserve">TRANSACTIONS WITH RELATED PERSONS, PROMOTERS AND CERTAIN CONTROL PERSONS </w:t>
      </w:r>
      <w:r>
        <w:rPr>
          <w:rFonts w:ascii="Arial" w:cs="Arial" w:eastAsia="Arial" w:hAnsi="Arial"/>
          <w:sz w:val="18"/>
          <w:szCs w:val="18"/>
          <w:b w:val="1"/>
          <w:bCs w:val="1"/>
          <w:i w:val="1"/>
          <w:iCs w:val="1"/>
          <w:color w:val="auto"/>
        </w:rPr>
        <w:t>Review, Approval or Ratification of Transactions with Related Persons</w:t>
      </w:r>
    </w:p>
    <w:p>
      <w:pPr>
        <w:spacing w:after="0" w:line="1" w:lineRule="exact"/>
        <w:rPr>
          <w:sz w:val="20"/>
          <w:szCs w:val="20"/>
          <w:color w:val="auto"/>
        </w:rPr>
      </w:pPr>
    </w:p>
    <w:p>
      <w:pPr>
        <w:ind w:firstLine="597"/>
        <w:spacing w:after="0" w:line="238" w:lineRule="auto"/>
        <w:rPr>
          <w:sz w:val="20"/>
          <w:szCs w:val="20"/>
          <w:color w:val="auto"/>
        </w:rPr>
      </w:pPr>
      <w:r>
        <w:rPr>
          <w:rFonts w:ascii="Arial" w:cs="Arial" w:eastAsia="Arial" w:hAnsi="Arial"/>
          <w:sz w:val="18"/>
          <w:szCs w:val="18"/>
          <w:color w:val="auto"/>
        </w:rPr>
        <w:t>The Company’s Audit Committee Charter states that the Audit Committee shall approve any related or affiliated person transactions and review disclosures thereof. In determining whether to approve or reject a related person transaction, the Audit Committee takes into account, among other factors it deems appropriate, whether the proposed transaction is on terms no less favorable than terms generally available to an unaffiliated third-party under the same or similar circumstances and the extent of the related persons’ economic interest in the transaction. For purposes of Audit Committee approval, a related person transaction is defined as any transaction that is required to be reported under Item 404 of SEC Regulation S-K.</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During 2025, there were no Transactions with Related Persons that required Audit Committee approval.</w:t>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INSIDER TRADING POLICY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 Trading Policy</w:t>
      </w:r>
    </w:p>
    <w:p>
      <w:pPr>
        <w:spacing w:after="0" w:line="189" w:lineRule="exact"/>
        <w:rPr>
          <w:sz w:val="20"/>
          <w:szCs w:val="20"/>
          <w:color w:val="auto"/>
        </w:rPr>
      </w:pPr>
    </w:p>
    <w:p>
      <w:pPr>
        <w:ind w:right="120" w:firstLine="299"/>
        <w:spacing w:after="0"/>
        <w:rPr>
          <w:sz w:val="20"/>
          <w:szCs w:val="20"/>
          <w:color w:val="auto"/>
        </w:rPr>
      </w:pPr>
      <w:r>
        <w:rPr>
          <w:rFonts w:ascii="Arial" w:cs="Arial" w:eastAsia="Arial" w:hAnsi="Arial"/>
          <w:sz w:val="18"/>
          <w:szCs w:val="18"/>
          <w:color w:val="auto"/>
        </w:rPr>
        <w:t>The Company has policies and procedures governing the purchase, sale, and/or other dispositions of our securities by directors, officers, or employees that we believe are reasonably designed to promote compliance with insider trading laws, rules and regulations, and the listing standards applicable to us. A copy of our Insider Trading Policy is filed as Exhibit 19 to our Annual Report on Form 10-K for the year ended December 31, 2025. It is also the policy of the Company to comply with the applicable securities laws when transacting in its own securities.</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00"/>
          </w:cols>
          <w:pgMar w:left="320" w:top="815" w:right="37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color w:val="auto"/>
        </w:rPr>
        <w:t>EQUITY COMPENSATION PLAN INFORMATION</w:t>
      </w:r>
    </w:p>
    <w:p>
      <w:pPr>
        <w:spacing w:after="0" w:line="191" w:lineRule="exact"/>
        <w:rPr>
          <w:sz w:val="20"/>
          <w:szCs w:val="20"/>
          <w:color w:val="auto"/>
        </w:rPr>
      </w:pPr>
    </w:p>
    <w:p>
      <w:pPr>
        <w:ind w:firstLine="597"/>
        <w:spacing w:after="0" w:line="250" w:lineRule="auto"/>
        <w:rPr>
          <w:sz w:val="20"/>
          <w:szCs w:val="20"/>
          <w:color w:val="auto"/>
        </w:rPr>
      </w:pPr>
      <w:r>
        <w:rPr>
          <w:rFonts w:ascii="Arial" w:cs="Arial" w:eastAsia="Arial" w:hAnsi="Arial"/>
          <w:sz w:val="18"/>
          <w:szCs w:val="18"/>
          <w:color w:val="auto"/>
        </w:rPr>
        <w:t>The following table provides information as of December 31, 2025, with respect to the common shares that may be issued under the Company’s existing incentive compensation plans. Performance shares awarded under the WTM Incentive Plan are typically paid in cash, though they may be paid in the Company’s common shares at the election of the Compensation/ Nominating &amp; Governance Committee.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4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tcPr>
          <w:p>
            <w:pPr>
              <w:jc w:val="right"/>
              <w:ind w:right="1125"/>
              <w:spacing w:after="0"/>
              <w:rPr>
                <w:sz w:val="20"/>
                <w:szCs w:val="20"/>
                <w:color w:val="auto"/>
              </w:rPr>
            </w:pPr>
            <w:r>
              <w:rPr>
                <w:rFonts w:ascii="Arial" w:cs="Arial" w:eastAsia="Arial" w:hAnsi="Arial"/>
                <w:sz w:val="15"/>
                <w:szCs w:val="15"/>
                <w:color w:val="auto"/>
              </w:rPr>
              <w:t>(1)</w:t>
            </w:r>
          </w:p>
        </w:tc>
        <w:tc>
          <w:tcPr>
            <w:tcW w:w="1840" w:type="dxa"/>
            <w:vAlign w:val="bottom"/>
            <w:tcBorders>
              <w:top w:val="single" w:sz="8" w:color="auto"/>
            </w:tcBorders>
          </w:tcPr>
          <w:p>
            <w:pPr>
              <w:jc w:val="right"/>
              <w:ind w:right="485"/>
              <w:spacing w:after="0"/>
              <w:rPr>
                <w:sz w:val="20"/>
                <w:szCs w:val="20"/>
                <w:color w:val="auto"/>
              </w:rPr>
            </w:pPr>
            <w:r>
              <w:rPr>
                <w:rFonts w:ascii="Arial" w:cs="Arial" w:eastAsia="Arial" w:hAnsi="Arial"/>
                <w:sz w:val="15"/>
                <w:szCs w:val="15"/>
                <w:color w:val="auto"/>
              </w:rPr>
              <w:t>(2)</w:t>
            </w:r>
          </w:p>
        </w:tc>
        <w:tc>
          <w:tcPr>
            <w:tcW w:w="460" w:type="dxa"/>
            <w:vAlign w:val="bottom"/>
            <w:tcBorders>
              <w:top w:val="single" w:sz="8" w:color="auto"/>
            </w:tcBorders>
          </w:tcPr>
          <w:p>
            <w:pPr>
              <w:spacing w:after="0"/>
              <w:rPr>
                <w:sz w:val="16"/>
                <w:szCs w:val="16"/>
                <w:color w:val="auto"/>
              </w:rPr>
            </w:pPr>
          </w:p>
        </w:tc>
        <w:tc>
          <w:tcPr>
            <w:tcW w:w="2540" w:type="dxa"/>
            <w:vAlign w:val="bottom"/>
            <w:tcBorders>
              <w:top w:val="single" w:sz="8" w:color="auto"/>
            </w:tcBorders>
          </w:tcPr>
          <w:p>
            <w:pPr>
              <w:jc w:val="right"/>
              <w:ind w:right="1105"/>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4"/>
        </w:trPr>
        <w:tc>
          <w:tcPr>
            <w:tcW w:w="36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540" w:type="dxa"/>
            <w:vAlign w:val="bottom"/>
          </w:tcPr>
          <w:p>
            <w:pPr>
              <w:jc w:val="right"/>
              <w:ind w:right="5"/>
              <w:spacing w:after="0"/>
              <w:rPr>
                <w:sz w:val="20"/>
                <w:szCs w:val="20"/>
                <w:color w:val="auto"/>
              </w:rPr>
            </w:pPr>
            <w:r>
              <w:rPr>
                <w:rFonts w:ascii="Arial" w:cs="Arial" w:eastAsia="Arial" w:hAnsi="Arial"/>
                <w:sz w:val="15"/>
                <w:szCs w:val="15"/>
                <w:color w:val="auto"/>
              </w:rPr>
              <w:t>Number of securities remaining</w:t>
            </w:r>
          </w:p>
        </w:tc>
        <w:tc>
          <w:tcPr>
            <w:tcW w:w="0" w:type="dxa"/>
            <w:vAlign w:val="bottom"/>
          </w:tcPr>
          <w:p>
            <w:pPr>
              <w:spacing w:after="0"/>
              <w:rPr>
                <w:sz w:val="1"/>
                <w:szCs w:val="1"/>
                <w:color w:val="auto"/>
              </w:rPr>
            </w:pPr>
          </w:p>
        </w:tc>
      </w:tr>
      <w:tr>
        <w:trPr>
          <w:trHeight w:val="174"/>
        </w:trPr>
        <w:tc>
          <w:tcPr>
            <w:tcW w:w="3640" w:type="dxa"/>
            <w:vAlign w:val="bottom"/>
          </w:tcPr>
          <w:p>
            <w:pPr>
              <w:spacing w:after="0"/>
              <w:rPr>
                <w:sz w:val="15"/>
                <w:szCs w:val="15"/>
                <w:color w:val="auto"/>
              </w:rPr>
            </w:pPr>
          </w:p>
        </w:tc>
        <w:tc>
          <w:tcPr>
            <w:tcW w:w="2760" w:type="dxa"/>
            <w:vAlign w:val="bottom"/>
          </w:tcPr>
          <w:p>
            <w:pPr>
              <w:jc w:val="right"/>
              <w:ind w:right="225"/>
              <w:spacing w:after="0"/>
              <w:rPr>
                <w:sz w:val="20"/>
                <w:szCs w:val="20"/>
                <w:color w:val="auto"/>
              </w:rPr>
            </w:pPr>
            <w:r>
              <w:rPr>
                <w:rFonts w:ascii="Arial" w:cs="Arial" w:eastAsia="Arial" w:hAnsi="Arial"/>
                <w:sz w:val="15"/>
                <w:szCs w:val="15"/>
                <w:color w:val="auto"/>
              </w:rPr>
              <w:t>Number of securities that may</w:t>
            </w:r>
          </w:p>
        </w:tc>
        <w:tc>
          <w:tcPr>
            <w:tcW w:w="1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540" w:type="dxa"/>
            <w:vAlign w:val="bottom"/>
          </w:tcPr>
          <w:p>
            <w:pPr>
              <w:jc w:val="right"/>
              <w:ind w:right="45"/>
              <w:spacing w:after="0"/>
              <w:rPr>
                <w:sz w:val="20"/>
                <w:szCs w:val="20"/>
                <w:color w:val="auto"/>
              </w:rPr>
            </w:pPr>
            <w:r>
              <w:rPr>
                <w:rFonts w:ascii="Arial" w:cs="Arial" w:eastAsia="Arial" w:hAnsi="Arial"/>
                <w:sz w:val="15"/>
                <w:szCs w:val="15"/>
                <w:color w:val="auto"/>
              </w:rPr>
              <w:t>available for future issuance under</w:t>
            </w:r>
          </w:p>
        </w:tc>
        <w:tc>
          <w:tcPr>
            <w:tcW w:w="0" w:type="dxa"/>
            <w:vAlign w:val="bottom"/>
          </w:tcPr>
          <w:p>
            <w:pPr>
              <w:spacing w:after="0"/>
              <w:rPr>
                <w:sz w:val="1"/>
                <w:szCs w:val="1"/>
                <w:color w:val="auto"/>
              </w:rPr>
            </w:pPr>
          </w:p>
        </w:tc>
      </w:tr>
      <w:tr>
        <w:trPr>
          <w:trHeight w:val="174"/>
        </w:trPr>
        <w:tc>
          <w:tcPr>
            <w:tcW w:w="3640" w:type="dxa"/>
            <w:vAlign w:val="bottom"/>
          </w:tcPr>
          <w:p>
            <w:pPr>
              <w:spacing w:after="0"/>
              <w:rPr>
                <w:sz w:val="15"/>
                <w:szCs w:val="15"/>
                <w:color w:val="auto"/>
              </w:rPr>
            </w:pPr>
          </w:p>
        </w:tc>
        <w:tc>
          <w:tcPr>
            <w:tcW w:w="2760" w:type="dxa"/>
            <w:vAlign w:val="bottom"/>
          </w:tcPr>
          <w:p>
            <w:pPr>
              <w:jc w:val="right"/>
              <w:ind w:right="225"/>
              <w:spacing w:after="0"/>
              <w:rPr>
                <w:sz w:val="20"/>
                <w:szCs w:val="20"/>
                <w:color w:val="auto"/>
              </w:rPr>
            </w:pPr>
            <w:r>
              <w:rPr>
                <w:rFonts w:ascii="Arial" w:cs="Arial" w:eastAsia="Arial" w:hAnsi="Arial"/>
                <w:sz w:val="15"/>
                <w:szCs w:val="15"/>
                <w:color w:val="auto"/>
              </w:rPr>
              <w:t>be issued upon exercise or</w:t>
            </w:r>
          </w:p>
        </w:tc>
        <w:tc>
          <w:tcPr>
            <w:tcW w:w="2300" w:type="dxa"/>
            <w:vAlign w:val="bottom"/>
            <w:gridSpan w:val="2"/>
          </w:tcPr>
          <w:p>
            <w:pPr>
              <w:jc w:val="right"/>
              <w:ind w:right="45"/>
              <w:spacing w:after="0"/>
              <w:rPr>
                <w:sz w:val="20"/>
                <w:szCs w:val="20"/>
                <w:color w:val="auto"/>
              </w:rPr>
            </w:pPr>
            <w:r>
              <w:rPr>
                <w:rFonts w:ascii="Arial" w:cs="Arial" w:eastAsia="Arial" w:hAnsi="Arial"/>
                <w:sz w:val="15"/>
                <w:szCs w:val="15"/>
                <w:color w:val="auto"/>
              </w:rPr>
              <w:t>Weighted average exercise</w:t>
            </w:r>
          </w:p>
        </w:tc>
        <w:tc>
          <w:tcPr>
            <w:tcW w:w="2540" w:type="dxa"/>
            <w:vAlign w:val="bottom"/>
          </w:tcPr>
          <w:p>
            <w:pPr>
              <w:jc w:val="right"/>
              <w:ind w:right="5"/>
              <w:spacing w:after="0"/>
              <w:rPr>
                <w:sz w:val="20"/>
                <w:szCs w:val="20"/>
                <w:color w:val="auto"/>
              </w:rPr>
            </w:pPr>
            <w:r>
              <w:rPr>
                <w:rFonts w:ascii="Arial" w:cs="Arial" w:eastAsia="Arial" w:hAnsi="Arial"/>
                <w:sz w:val="15"/>
                <w:szCs w:val="15"/>
                <w:color w:val="auto"/>
              </w:rPr>
              <w:t>equity compensation plans</w:t>
            </w:r>
          </w:p>
        </w:tc>
        <w:tc>
          <w:tcPr>
            <w:tcW w:w="0" w:type="dxa"/>
            <w:vAlign w:val="bottom"/>
          </w:tcPr>
          <w:p>
            <w:pPr>
              <w:spacing w:after="0"/>
              <w:rPr>
                <w:sz w:val="1"/>
                <w:szCs w:val="1"/>
                <w:color w:val="auto"/>
              </w:rPr>
            </w:pPr>
          </w:p>
        </w:tc>
      </w:tr>
      <w:tr>
        <w:trPr>
          <w:trHeight w:val="174"/>
        </w:trPr>
        <w:tc>
          <w:tcPr>
            <w:tcW w:w="3640" w:type="dxa"/>
            <w:vAlign w:val="bottom"/>
            <w:vMerge w:val="restart"/>
          </w:tcPr>
          <w:p>
            <w:pPr>
              <w:spacing w:after="0"/>
              <w:rPr>
                <w:sz w:val="20"/>
                <w:szCs w:val="20"/>
                <w:color w:val="auto"/>
              </w:rPr>
            </w:pPr>
            <w:r>
              <w:rPr>
                <w:rFonts w:ascii="Arial" w:cs="Arial" w:eastAsia="Arial" w:hAnsi="Arial"/>
                <w:sz w:val="15"/>
                <w:szCs w:val="15"/>
                <w:color w:val="auto"/>
              </w:rPr>
              <w:t>Plan category</w:t>
            </w:r>
          </w:p>
        </w:tc>
        <w:tc>
          <w:tcPr>
            <w:tcW w:w="2760" w:type="dxa"/>
            <w:vAlign w:val="bottom"/>
          </w:tcPr>
          <w:p>
            <w:pPr>
              <w:jc w:val="right"/>
              <w:ind w:right="225"/>
              <w:spacing w:after="0"/>
              <w:rPr>
                <w:sz w:val="20"/>
                <w:szCs w:val="20"/>
                <w:color w:val="auto"/>
              </w:rPr>
            </w:pPr>
            <w:r>
              <w:rPr>
                <w:rFonts w:ascii="Arial" w:cs="Arial" w:eastAsia="Arial" w:hAnsi="Arial"/>
                <w:sz w:val="15"/>
                <w:szCs w:val="15"/>
                <w:color w:val="auto"/>
              </w:rPr>
              <w:t>vesting of outstanding options,</w:t>
            </w:r>
          </w:p>
        </w:tc>
        <w:tc>
          <w:tcPr>
            <w:tcW w:w="2300" w:type="dxa"/>
            <w:vAlign w:val="bottom"/>
            <w:gridSpan w:val="2"/>
          </w:tcPr>
          <w:p>
            <w:pPr>
              <w:jc w:val="right"/>
              <w:ind w:right="45"/>
              <w:spacing w:after="0"/>
              <w:rPr>
                <w:sz w:val="20"/>
                <w:szCs w:val="20"/>
                <w:color w:val="auto"/>
              </w:rPr>
            </w:pPr>
            <w:r>
              <w:rPr>
                <w:rFonts w:ascii="Arial" w:cs="Arial" w:eastAsia="Arial" w:hAnsi="Arial"/>
                <w:sz w:val="15"/>
                <w:szCs w:val="15"/>
                <w:color w:val="auto"/>
              </w:rPr>
              <w:t>price of outstanding options,</w:t>
            </w:r>
          </w:p>
        </w:tc>
        <w:tc>
          <w:tcPr>
            <w:tcW w:w="2540" w:type="dxa"/>
            <w:vAlign w:val="bottom"/>
          </w:tcPr>
          <w:p>
            <w:pPr>
              <w:jc w:val="right"/>
              <w:ind w:right="5"/>
              <w:spacing w:after="0"/>
              <w:rPr>
                <w:sz w:val="20"/>
                <w:szCs w:val="20"/>
                <w:color w:val="auto"/>
              </w:rPr>
            </w:pPr>
            <w:r>
              <w:rPr>
                <w:rFonts w:ascii="Arial" w:cs="Arial" w:eastAsia="Arial" w:hAnsi="Arial"/>
                <w:sz w:val="15"/>
                <w:szCs w:val="15"/>
                <w:color w:val="auto"/>
              </w:rPr>
              <w:t>(excluding securities reflected</w:t>
            </w:r>
          </w:p>
        </w:tc>
        <w:tc>
          <w:tcPr>
            <w:tcW w:w="0" w:type="dxa"/>
            <w:vAlign w:val="bottom"/>
          </w:tcPr>
          <w:p>
            <w:pPr>
              <w:spacing w:after="0"/>
              <w:rPr>
                <w:sz w:val="1"/>
                <w:szCs w:val="1"/>
                <w:color w:val="auto"/>
              </w:rPr>
            </w:pPr>
          </w:p>
        </w:tc>
      </w:tr>
      <w:tr>
        <w:trPr>
          <w:trHeight w:val="186"/>
        </w:trPr>
        <w:tc>
          <w:tcPr>
            <w:tcW w:w="3640" w:type="dxa"/>
            <w:vAlign w:val="bottom"/>
            <w:tcBorders>
              <w:bottom w:val="single" w:sz="8" w:color="auto"/>
            </w:tcBorders>
            <w:vMerge w:val="continue"/>
          </w:tcPr>
          <w:p>
            <w:pPr>
              <w:spacing w:after="0"/>
              <w:rPr>
                <w:sz w:val="16"/>
                <w:szCs w:val="16"/>
                <w:color w:val="auto"/>
              </w:rPr>
            </w:pPr>
          </w:p>
        </w:tc>
        <w:tc>
          <w:tcPr>
            <w:tcW w:w="276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rPr>
              <w:t>warrants and rights at target</w:t>
            </w:r>
          </w:p>
        </w:tc>
        <w:tc>
          <w:tcPr>
            <w:tcW w:w="230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5"/>
                <w:szCs w:val="15"/>
                <w:color w:val="auto"/>
              </w:rPr>
              <w:t>warrants and rights</w:t>
            </w:r>
          </w:p>
        </w:tc>
        <w:tc>
          <w:tcPr>
            <w:tcW w:w="25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in column (1))</w:t>
            </w:r>
          </w:p>
        </w:tc>
        <w:tc>
          <w:tcPr>
            <w:tcW w:w="0" w:type="dxa"/>
            <w:vAlign w:val="bottom"/>
          </w:tcPr>
          <w:p>
            <w:pPr>
              <w:spacing w:after="0"/>
              <w:rPr>
                <w:sz w:val="1"/>
                <w:szCs w:val="1"/>
                <w:color w:val="auto"/>
              </w:rPr>
            </w:pPr>
          </w:p>
        </w:tc>
      </w:tr>
      <w:tr>
        <w:trPr>
          <w:trHeight w:val="154"/>
        </w:trPr>
        <w:tc>
          <w:tcPr>
            <w:tcW w:w="3640" w:type="dxa"/>
            <w:vAlign w:val="bottom"/>
          </w:tcPr>
          <w:p>
            <w:pPr>
              <w:spacing w:after="0" w:line="154" w:lineRule="exact"/>
              <w:rPr>
                <w:sz w:val="20"/>
                <w:szCs w:val="20"/>
                <w:color w:val="auto"/>
              </w:rPr>
            </w:pPr>
            <w:r>
              <w:rPr>
                <w:rFonts w:ascii="Arial" w:cs="Arial" w:eastAsia="Arial" w:hAnsi="Arial"/>
                <w:sz w:val="15"/>
                <w:szCs w:val="15"/>
                <w:color w:val="auto"/>
              </w:rPr>
              <w:t>Equity compensation plans approved by security</w:t>
            </w:r>
          </w:p>
        </w:tc>
        <w:tc>
          <w:tcPr>
            <w:tcW w:w="27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640" w:type="dxa"/>
            <w:vAlign w:val="bottom"/>
          </w:tcPr>
          <w:p>
            <w:pPr>
              <w:spacing w:after="0"/>
              <w:rPr>
                <w:sz w:val="20"/>
                <w:szCs w:val="20"/>
                <w:color w:val="auto"/>
              </w:rPr>
            </w:pPr>
            <w:r>
              <w:rPr>
                <w:rFonts w:ascii="Arial" w:cs="Arial" w:eastAsia="Arial" w:hAnsi="Arial"/>
                <w:sz w:val="15"/>
                <w:szCs w:val="15"/>
                <w:color w:val="auto"/>
              </w:rPr>
              <w:t>holders - WTM Incentive Plan:</w:t>
            </w:r>
          </w:p>
        </w:tc>
        <w:tc>
          <w:tcPr>
            <w:tcW w:w="27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540" w:type="dxa"/>
            <w:vAlign w:val="bottom"/>
          </w:tcPr>
          <w:p>
            <w:pPr>
              <w:jc w:val="right"/>
              <w:ind w:right="5"/>
              <w:spacing w:after="0"/>
              <w:rPr>
                <w:sz w:val="20"/>
                <w:szCs w:val="20"/>
                <w:color w:val="auto"/>
              </w:rPr>
            </w:pPr>
            <w:r>
              <w:rPr>
                <w:rFonts w:ascii="Arial" w:cs="Arial" w:eastAsia="Arial" w:hAnsi="Arial"/>
                <w:sz w:val="15"/>
                <w:szCs w:val="15"/>
                <w:color w:val="auto"/>
              </w:rPr>
              <w:t>88,565(a)</w:t>
            </w:r>
          </w:p>
        </w:tc>
        <w:tc>
          <w:tcPr>
            <w:tcW w:w="0" w:type="dxa"/>
            <w:vAlign w:val="bottom"/>
          </w:tcPr>
          <w:p>
            <w:pPr>
              <w:spacing w:after="0"/>
              <w:rPr>
                <w:sz w:val="1"/>
                <w:szCs w:val="1"/>
                <w:color w:val="auto"/>
              </w:rPr>
            </w:pPr>
          </w:p>
        </w:tc>
      </w:tr>
      <w:tr>
        <w:trPr>
          <w:trHeight w:val="363"/>
        </w:trPr>
        <w:tc>
          <w:tcPr>
            <w:tcW w:w="36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Performance shares</w:t>
            </w:r>
          </w:p>
        </w:tc>
        <w:tc>
          <w:tcPr>
            <w:tcW w:w="276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rPr>
              <w:t>32,910(b)</w:t>
            </w:r>
          </w:p>
        </w:tc>
        <w:tc>
          <w:tcPr>
            <w:tcW w:w="184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0</w:t>
            </w:r>
          </w:p>
        </w:tc>
        <w:tc>
          <w:tcPr>
            <w:tcW w:w="2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00" w:right="120" w:hanging="300"/>
        <w:spacing w:after="0" w:line="259" w:lineRule="auto"/>
        <w:tabs>
          <w:tab w:leader="none" w:pos="3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Represents the amount of WTM shares available for issuance at target under the WTM Incentive Plan as of December 31, 2025. To the extent granted as WTM performance shares, such shares could be earned at 0x to 2x the target number granted and, although typically in cash, may be paid in WTM common shares at the discretion of the Compensation/Nominating &amp; Governance Committee. As of March 31, 2026, 78,950 common shares remained available for issuance.</w:t>
      </w:r>
    </w:p>
    <w:p>
      <w:pPr>
        <w:spacing w:after="0" w:line="138" w:lineRule="exact"/>
        <w:rPr>
          <w:rFonts w:ascii="Arial" w:cs="Arial" w:eastAsia="Arial" w:hAnsi="Arial"/>
          <w:sz w:val="15"/>
          <w:szCs w:val="15"/>
          <w:color w:val="auto"/>
        </w:rPr>
      </w:pPr>
    </w:p>
    <w:p>
      <w:pPr>
        <w:ind w:left="300" w:right="260" w:hanging="300"/>
        <w:spacing w:after="0" w:line="276" w:lineRule="auto"/>
        <w:tabs>
          <w:tab w:leader="none" w:pos="3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Represents the target amount of WTM performance shares outstanding as of December 31, 2025, which includes 10,835 target performance shares for the 2023-2025 performance cycle that were settled in cash in March 2026.</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60" w:name="page61"/>
    <w:bookmarkEnd w:id="60"/>
    <w:p>
      <w:pPr>
        <w:jc w:val="center"/>
        <w:ind w:right="-59"/>
        <w:spacing w:after="0"/>
        <w:rPr>
          <w:sz w:val="20"/>
          <w:szCs w:val="20"/>
          <w:color w:val="auto"/>
        </w:rPr>
      </w:pPr>
      <w:r>
        <w:rPr>
          <w:rFonts w:ascii="Arial" w:cs="Arial" w:eastAsia="Arial" w:hAnsi="Arial"/>
          <w:sz w:val="18"/>
          <w:szCs w:val="18"/>
          <w:color w:val="auto"/>
        </w:rPr>
        <w:t>AUDIT COMMITTEE REPORT</w:t>
      </w:r>
    </w:p>
    <w:p>
      <w:pPr>
        <w:spacing w:after="0" w:line="191" w:lineRule="exact"/>
        <w:rPr>
          <w:sz w:val="20"/>
          <w:szCs w:val="20"/>
          <w:color w:val="auto"/>
        </w:rPr>
      </w:pPr>
    </w:p>
    <w:p>
      <w:pPr>
        <w:ind w:firstLine="597"/>
        <w:spacing w:after="0" w:line="238" w:lineRule="auto"/>
        <w:rPr>
          <w:sz w:val="20"/>
          <w:szCs w:val="20"/>
          <w:color w:val="auto"/>
        </w:rPr>
      </w:pPr>
      <w:r>
        <w:rPr>
          <w:rFonts w:ascii="Arial" w:cs="Arial" w:eastAsia="Arial" w:hAnsi="Arial"/>
          <w:sz w:val="18"/>
          <w:szCs w:val="18"/>
          <w:color w:val="auto"/>
        </w:rPr>
        <w:t>In connection with the audit of the Company’s financial statements for the year ended December 31, 2025, the Audit Committee has: (1) reviewed and discussed with management and PwC the Company’s audited financial statements for the year ended December 31, 2025, management’s assessment of the effectiveness of the Company’s internal control over financial reporting and PwC’s audit of the Company’s internal control over financial reporting; (2) reviewed and discussed with PwC the applicable requirements of the Public Company Accounting Oversight Board (“PCAOB”) and the SEC; and (3) received the written disclosures and the letter from PwC required by the applicable PCAOB rules and discussed with PwC their independence.</w:t>
      </w:r>
    </w:p>
    <w:p>
      <w:pPr>
        <w:spacing w:after="0" w:line="162" w:lineRule="exact"/>
        <w:rPr>
          <w:sz w:val="20"/>
          <w:szCs w:val="20"/>
          <w:color w:val="auto"/>
        </w:rPr>
      </w:pPr>
    </w:p>
    <w:p>
      <w:pPr>
        <w:ind w:firstLine="597"/>
        <w:spacing w:after="0" w:line="244" w:lineRule="auto"/>
        <w:rPr>
          <w:sz w:val="20"/>
          <w:szCs w:val="20"/>
          <w:color w:val="auto"/>
        </w:rPr>
      </w:pPr>
      <w:r>
        <w:rPr>
          <w:rFonts w:ascii="Arial" w:cs="Arial" w:eastAsia="Arial" w:hAnsi="Arial"/>
          <w:sz w:val="18"/>
          <w:szCs w:val="18"/>
          <w:color w:val="auto"/>
        </w:rPr>
        <w:t>Based on these reviews and discussions, the Audit Committee determined that the non-audit fees billed by PwC for services performed in 2025 and 2024 (as presented herein) are compatible with maintaining their independence. Further, the Audit Committee recommended to the Board that the audited financial statements be included in the Annual Report on Form 10-K for filing with the SEC and for presentation to shareholders at the 2026 Annual Meeting.</w:t>
      </w:r>
    </w:p>
    <w:p>
      <w:pPr>
        <w:spacing w:after="0" w:line="154" w:lineRule="exact"/>
        <w:rPr>
          <w:sz w:val="20"/>
          <w:szCs w:val="20"/>
          <w:color w:val="auto"/>
        </w:rPr>
      </w:pPr>
    </w:p>
    <w:p>
      <w:pPr>
        <w:ind w:right="180" w:firstLine="597"/>
        <w:spacing w:after="0" w:line="236" w:lineRule="auto"/>
        <w:rPr>
          <w:sz w:val="20"/>
          <w:szCs w:val="20"/>
          <w:color w:val="auto"/>
        </w:rPr>
      </w:pPr>
      <w:r>
        <w:rPr>
          <w:rFonts w:ascii="Arial" w:cs="Arial" w:eastAsia="Arial" w:hAnsi="Arial"/>
          <w:sz w:val="18"/>
          <w:szCs w:val="18"/>
          <w:color w:val="auto"/>
        </w:rPr>
        <w:t>Management is responsible for the preparation, presentation and integrity of the Company’s consolidated financial statements as well as for establishing and maintaining adequate internal control over financial reporting. The Company’s independent registered public accounting firm, PwC, is responsible for expressing its opinion on the conformity of the Company’s audited financial statements with Generally Accepted Accounting Principles (“GAAP”). In addition, PwC is responsible for expressing its opinion on the effectiveness of the Company’s internal control over financial reporting. It is not the duty of the Audit Committee to plan or conduct audits or to determine that the Company’s financial statements are complete and accurate and in accordance with GAAP; that, as described above, is the responsibility of management and PwC. In giving its recommendation to the Board, the Audit Committee has relied on (1) management’s representation that such financial statements have been prepared with integrity and objectivity and in conformity with GAAP and (2) the reports of PwC with respect to such financial statements.</w:t>
      </w:r>
    </w:p>
    <w:p>
      <w:pPr>
        <w:spacing w:after="0" w:line="159" w:lineRule="exact"/>
        <w:rPr>
          <w:sz w:val="20"/>
          <w:szCs w:val="20"/>
          <w:color w:val="auto"/>
        </w:rPr>
      </w:pPr>
    </w:p>
    <w:p>
      <w:pPr>
        <w:ind w:right="20" w:firstLine="597"/>
        <w:spacing w:after="0" w:line="250" w:lineRule="auto"/>
        <w:rPr>
          <w:sz w:val="20"/>
          <w:szCs w:val="20"/>
          <w:color w:val="auto"/>
        </w:rPr>
      </w:pPr>
      <w:r>
        <w:rPr>
          <w:rFonts w:ascii="Arial" w:cs="Arial" w:eastAsia="Arial" w:hAnsi="Arial"/>
          <w:sz w:val="18"/>
          <w:szCs w:val="18"/>
          <w:color w:val="auto"/>
        </w:rPr>
        <w:t xml:space="preserve">The Audit Committee has established a Charter which outlines its primary duties and responsibilities. The Audit Committee Charter, which has been approved by the Board, is reviewed at least annually, is updated as necessary and is available for viewing at </w:t>
      </w:r>
      <w:r>
        <w:rPr>
          <w:rFonts w:ascii="Arial" w:cs="Arial" w:eastAsia="Arial" w:hAnsi="Arial"/>
          <w:sz w:val="18"/>
          <w:szCs w:val="18"/>
          <w:i w:val="1"/>
          <w:iCs w:val="1"/>
          <w:color w:val="auto"/>
        </w:rPr>
        <w:t>www.whitemountains.com</w:t>
      </w:r>
      <w:r>
        <w:rPr>
          <w:rFonts w:ascii="Arial" w:cs="Arial" w:eastAsia="Arial" w:hAnsi="Arial"/>
          <w:sz w:val="18"/>
          <w:szCs w:val="18"/>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Peter M. Carlson, Chair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Margaret Dillon</w:t>
      </w:r>
    </w:p>
    <w:p>
      <w:pPr>
        <w:spacing w:after="0" w:line="230" w:lineRule="auto"/>
        <w:rPr>
          <w:sz w:val="20"/>
          <w:szCs w:val="20"/>
          <w:color w:val="auto"/>
        </w:rPr>
      </w:pPr>
      <w:r>
        <w:rPr>
          <w:rFonts w:ascii="Arial" w:cs="Arial" w:eastAsia="Arial" w:hAnsi="Arial"/>
          <w:sz w:val="18"/>
          <w:szCs w:val="18"/>
          <w:color w:val="auto"/>
        </w:rPr>
        <w:t>Philip A. Gelston</w:t>
      </w:r>
    </w:p>
    <w:p>
      <w:pPr>
        <w:spacing w:after="0" w:line="231" w:lineRule="auto"/>
        <w:rPr>
          <w:sz w:val="20"/>
          <w:szCs w:val="20"/>
          <w:color w:val="auto"/>
        </w:rPr>
      </w:pPr>
      <w:r>
        <w:rPr>
          <w:rFonts w:ascii="Arial" w:cs="Arial" w:eastAsia="Arial" w:hAnsi="Arial"/>
          <w:sz w:val="18"/>
          <w:szCs w:val="18"/>
          <w:color w:val="auto"/>
        </w:rPr>
        <w:t>Weston M. Hicks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David A. Tanner</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00"/>
          </w:cols>
          <w:pgMar w:left="320" w:top="803" w:right="37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color w:val="auto"/>
        </w:rPr>
        <w:t>PRINCIPAL ACCOUNTANT FEES AND SERVICES</w:t>
      </w:r>
    </w:p>
    <w:p>
      <w:pPr>
        <w:spacing w:after="0" w:line="191" w:lineRule="exact"/>
        <w:rPr>
          <w:sz w:val="20"/>
          <w:szCs w:val="20"/>
          <w:color w:val="auto"/>
        </w:rPr>
      </w:pPr>
    </w:p>
    <w:p>
      <w:pPr>
        <w:ind w:firstLine="597"/>
        <w:spacing w:after="0" w:line="236" w:lineRule="auto"/>
        <w:rPr>
          <w:sz w:val="20"/>
          <w:szCs w:val="20"/>
          <w:color w:val="auto"/>
        </w:rPr>
      </w:pPr>
      <w:r>
        <w:rPr>
          <w:rFonts w:ascii="Arial" w:cs="Arial" w:eastAsia="Arial" w:hAnsi="Arial"/>
          <w:sz w:val="18"/>
          <w:szCs w:val="18"/>
          <w:color w:val="auto"/>
        </w:rPr>
        <w:t>The Audit Committee, pursuant to its policy, pre-approves the scope and fees for all services performed by PwC. Annually, the Audit Committee receives and pre-approves a written report from PwC describing the elements expected to be performed in the course of its audit of the Company’s financial statements. All other audit, audit-related and non-audit-related services rendered by PwC also require pre-approval, which may be granted in accordance with the provisions of the policy either (a) at a meeting of the full Audit Committee, (b) on an interim basis by the Chairman of the Audit Committee, provided that the requested services are not expressly prohibited and are ratified by the full Audit Committee at its next regularly scheduled meeting, or (c) on a per-project basis through specific compliance with pre-approved definitions of services that do not exceed per-project limits established by the Audit Committee, provided that any such services are authorized by the Company’s General Auditor or his/her designee and that the General Auditor makes a full report of all services pre-approved per the policy at the next regularly scheduled Committee meeting.</w:t>
      </w:r>
    </w:p>
    <w:p>
      <w:pPr>
        <w:spacing w:after="0" w:line="159" w:lineRule="exact"/>
        <w:rPr>
          <w:sz w:val="20"/>
          <w:szCs w:val="20"/>
          <w:color w:val="auto"/>
        </w:rPr>
      </w:pPr>
    </w:p>
    <w:p>
      <w:pPr>
        <w:ind w:right="280" w:firstLine="597"/>
        <w:spacing w:after="0" w:line="237" w:lineRule="auto"/>
        <w:rPr>
          <w:sz w:val="20"/>
          <w:szCs w:val="20"/>
          <w:color w:val="auto"/>
        </w:rPr>
      </w:pPr>
      <w:r>
        <w:rPr>
          <w:rFonts w:ascii="Arial" w:cs="Arial" w:eastAsia="Arial" w:hAnsi="Arial"/>
          <w:sz w:val="18"/>
          <w:szCs w:val="18"/>
          <w:color w:val="auto"/>
        </w:rPr>
        <w:t>It is the intent of the policy to assure that PwC’s performance of audit, audit-related and non-audit-related services are consistent with all applicable rules on auditor independence. As such, services expressly prohibited by the Audit Committee under its policy include bookkeeping or other services related to the accounting records or financial statements of the Company or its subsidiaries; financial information systems design and implementation; appraisal and valuation services; fairness opinions; contribution-in-kind reports; certain actuarial services; internal audit outsourcing services; management functions; human resources; broker-dealer, investment advisor or investment banking services; legal services; and expert services unrelated to the audit. All services performed by PwC during 2025 and 2024 were pre-approved in accordance with the policy described above.</w:t>
      </w:r>
    </w:p>
    <w:p>
      <w:pPr>
        <w:spacing w:after="0" w:line="162" w:lineRule="exact"/>
        <w:rPr>
          <w:sz w:val="20"/>
          <w:szCs w:val="20"/>
          <w:color w:val="auto"/>
        </w:rPr>
      </w:pPr>
    </w:p>
    <w:p>
      <w:pPr>
        <w:ind w:right="100" w:firstLine="597"/>
        <w:spacing w:after="0" w:line="238" w:lineRule="auto"/>
        <w:rPr>
          <w:sz w:val="20"/>
          <w:szCs w:val="20"/>
          <w:color w:val="auto"/>
        </w:rPr>
      </w:pPr>
      <w:r>
        <w:rPr>
          <w:rFonts w:ascii="Arial" w:cs="Arial" w:eastAsia="Arial" w:hAnsi="Arial"/>
          <w:sz w:val="18"/>
          <w:szCs w:val="18"/>
          <w:color w:val="auto"/>
        </w:rPr>
        <w:t>The services performed by PwC in 2025 and 2024 are described below. PwC does not provide any services to the Company that are prohibited under applicable laws and regulations, such as financial information systems design and implementation. From time to time, PwC may perform permissible consulting services for the Company, provided they have been pre-approved in accordance with the policy described above. To the extent consulting services are provided by PwC, they are closely monitored and controlled by both management and the Audit Committee to ensure that their nature and extent do not interfere with the independence of PwC. The independence of PwC is also considered annually by the Audit Committee.</w:t>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the approximate aggregate fees billed by PwC for professional services provided in 2025 and 2024:</w:t>
      </w:r>
    </w:p>
    <w:p>
      <w:pPr>
        <w:spacing w:after="0" w:line="291" w:lineRule="exact"/>
        <w:rPr>
          <w:sz w:val="20"/>
          <w:szCs w:val="20"/>
          <w:color w:val="auto"/>
        </w:rPr>
      </w:pPr>
    </w:p>
    <w:tbl>
      <w:tblPr>
        <w:tblLayout w:type="fixed"/>
        <w:tblInd w:w="1800" w:type="dxa"/>
        <w:tblCellMar>
          <w:top w:w="0" w:type="dxa"/>
          <w:left w:w="0" w:type="dxa"/>
          <w:bottom w:w="0" w:type="dxa"/>
          <w:right w:w="0" w:type="dxa"/>
        </w:tblCellMar>
      </w:tblPr>
      <w:tr>
        <w:trPr>
          <w:trHeight w:val="345"/>
        </w:trPr>
        <w:tc>
          <w:tcPr>
            <w:tcW w:w="3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0" w:type="dxa"/>
            <w:vAlign w:val="bottom"/>
            <w:gridSpan w:val="2"/>
          </w:tcPr>
          <w:p>
            <w:pPr>
              <w:jc w:val="right"/>
              <w:ind w:right="820"/>
              <w:spacing w:after="0"/>
              <w:rPr>
                <w:sz w:val="20"/>
                <w:szCs w:val="20"/>
                <w:color w:val="auto"/>
              </w:rPr>
            </w:pPr>
            <w:r>
              <w:rPr>
                <w:rFonts w:ascii="Arial" w:cs="Arial" w:eastAsia="Arial" w:hAnsi="Arial"/>
                <w:sz w:val="18"/>
                <w:szCs w:val="18"/>
                <w:color w:val="auto"/>
                <w:w w:val="86"/>
              </w:rPr>
              <w:t>2025</w:t>
            </w:r>
            <w:r>
              <w:rPr>
                <w:rFonts w:ascii="Arial" w:cs="Arial" w:eastAsia="Arial" w:hAnsi="Arial"/>
                <w:sz w:val="30"/>
                <w:szCs w:val="30"/>
                <w:color w:val="auto"/>
                <w:w w:val="86"/>
                <w:vertAlign w:val="superscript"/>
              </w:rPr>
              <w:t>(e)</w:t>
            </w:r>
          </w:p>
        </w:tc>
        <w:tc>
          <w:tcPr>
            <w:tcW w:w="94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2024</w:t>
            </w:r>
            <w:r>
              <w:rPr>
                <w:rFonts w:ascii="Arial" w:cs="Arial" w:eastAsia="Arial" w:hAnsi="Arial"/>
                <w:sz w:val="30"/>
                <w:szCs w:val="30"/>
                <w:color w:val="auto"/>
                <w:w w:val="89"/>
                <w:vertAlign w:val="superscript"/>
              </w:rPr>
              <w:t>(e)</w:t>
            </w:r>
          </w:p>
        </w:tc>
      </w:tr>
      <w:tr>
        <w:trPr>
          <w:trHeight w:val="20"/>
        </w:trPr>
        <w:tc>
          <w:tcPr>
            <w:tcW w:w="3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56"/>
        </w:trPr>
        <w:tc>
          <w:tcPr>
            <w:tcW w:w="3040" w:type="dxa"/>
            <w:vAlign w:val="bottom"/>
          </w:tcPr>
          <w:p>
            <w:pPr>
              <w:spacing w:after="0"/>
              <w:rPr>
                <w:sz w:val="20"/>
                <w:szCs w:val="20"/>
                <w:color w:val="auto"/>
              </w:rPr>
            </w:pPr>
            <w:r>
              <w:rPr>
                <w:rFonts w:ascii="Arial" w:cs="Arial" w:eastAsia="Arial" w:hAnsi="Arial"/>
                <w:sz w:val="18"/>
                <w:szCs w:val="18"/>
                <w:color w:val="auto"/>
              </w:rPr>
              <w:t xml:space="preserve">Audit Fees </w:t>
            </w:r>
            <w:r>
              <w:rPr>
                <w:rFonts w:ascii="Arial" w:cs="Arial" w:eastAsia="Arial" w:hAnsi="Arial"/>
                <w:sz w:val="30"/>
                <w:szCs w:val="30"/>
                <w:color w:val="auto"/>
                <w:vertAlign w:val="superscript"/>
              </w:rPr>
              <w:t>(a)</w:t>
            </w:r>
          </w:p>
        </w:tc>
        <w:tc>
          <w:tcPr>
            <w:tcW w:w="2940" w:type="dxa"/>
            <w:vAlign w:val="bottom"/>
            <w:gridSpan w:val="3"/>
          </w:tcPr>
          <w:p>
            <w:pPr>
              <w:jc w:val="right"/>
              <w:ind w:right="680"/>
              <w:spacing w:after="0"/>
              <w:rPr>
                <w:sz w:val="20"/>
                <w:szCs w:val="20"/>
                <w:color w:val="auto"/>
              </w:rPr>
            </w:pPr>
            <w:r>
              <w:rPr>
                <w:rFonts w:ascii="Arial" w:cs="Arial" w:eastAsia="Arial" w:hAnsi="Arial"/>
                <w:sz w:val="18"/>
                <w:szCs w:val="18"/>
                <w:color w:val="auto"/>
              </w:rPr>
              <w:t>$ 6,216,472</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$ 6,091,739</w:t>
            </w:r>
          </w:p>
        </w:tc>
      </w:tr>
      <w:tr>
        <w:trPr>
          <w:trHeight w:val="348"/>
        </w:trPr>
        <w:tc>
          <w:tcPr>
            <w:tcW w:w="3040" w:type="dxa"/>
            <w:vAlign w:val="bottom"/>
          </w:tcPr>
          <w:p>
            <w:pPr>
              <w:spacing w:after="0"/>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30"/>
                <w:szCs w:val="30"/>
                <w:color w:val="auto"/>
                <w:vertAlign w:val="superscript"/>
              </w:rPr>
              <w:t>(b)</w:t>
            </w:r>
          </w:p>
        </w:tc>
        <w:tc>
          <w:tcPr>
            <w:tcW w:w="2940" w:type="dxa"/>
            <w:vAlign w:val="bottom"/>
            <w:gridSpan w:val="3"/>
          </w:tcPr>
          <w:p>
            <w:pPr>
              <w:jc w:val="right"/>
              <w:ind w:right="680"/>
              <w:spacing w:after="0"/>
              <w:rPr>
                <w:sz w:val="20"/>
                <w:szCs w:val="20"/>
                <w:color w:val="auto"/>
              </w:rPr>
            </w:pPr>
            <w:r>
              <w:rPr>
                <w:rFonts w:ascii="Arial" w:cs="Arial" w:eastAsia="Arial" w:hAnsi="Arial"/>
                <w:sz w:val="18"/>
                <w:szCs w:val="18"/>
                <w:color w:val="auto"/>
              </w:rPr>
              <w:t>1,029,784</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0</w:t>
            </w:r>
          </w:p>
        </w:tc>
      </w:tr>
      <w:tr>
        <w:trPr>
          <w:trHeight w:val="348"/>
        </w:trPr>
        <w:tc>
          <w:tcPr>
            <w:tcW w:w="3040" w:type="dxa"/>
            <w:vAlign w:val="bottom"/>
          </w:tcPr>
          <w:p>
            <w:pPr>
              <w:spacing w:after="0"/>
              <w:rPr>
                <w:sz w:val="20"/>
                <w:szCs w:val="20"/>
                <w:color w:val="auto"/>
              </w:rPr>
            </w:pPr>
            <w:r>
              <w:rPr>
                <w:rFonts w:ascii="Arial" w:cs="Arial" w:eastAsia="Arial" w:hAnsi="Arial"/>
                <w:sz w:val="18"/>
                <w:szCs w:val="18"/>
                <w:color w:val="auto"/>
              </w:rPr>
              <w:t xml:space="preserve">Tax Fees </w:t>
            </w:r>
            <w:r>
              <w:rPr>
                <w:rFonts w:ascii="Arial" w:cs="Arial" w:eastAsia="Arial" w:hAnsi="Arial"/>
                <w:sz w:val="30"/>
                <w:szCs w:val="30"/>
                <w:color w:val="auto"/>
                <w:vertAlign w:val="superscript"/>
              </w:rPr>
              <w:t>(c)</w:t>
            </w:r>
          </w:p>
        </w:tc>
        <w:tc>
          <w:tcPr>
            <w:tcW w:w="2940" w:type="dxa"/>
            <w:vAlign w:val="bottom"/>
            <w:gridSpan w:val="3"/>
          </w:tcPr>
          <w:p>
            <w:pPr>
              <w:jc w:val="right"/>
              <w:ind w:right="680"/>
              <w:spacing w:after="0"/>
              <w:rPr>
                <w:sz w:val="20"/>
                <w:szCs w:val="20"/>
                <w:color w:val="auto"/>
              </w:rPr>
            </w:pPr>
            <w:r>
              <w:rPr>
                <w:rFonts w:ascii="Arial" w:cs="Arial" w:eastAsia="Arial" w:hAnsi="Arial"/>
                <w:sz w:val="18"/>
                <w:szCs w:val="18"/>
                <w:color w:val="auto"/>
              </w:rPr>
              <w:t>623,451</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474,815</w:t>
            </w:r>
          </w:p>
        </w:tc>
      </w:tr>
      <w:tr>
        <w:trPr>
          <w:trHeight w:val="413"/>
        </w:trPr>
        <w:tc>
          <w:tcPr>
            <w:tcW w:w="3040" w:type="dxa"/>
            <w:vAlign w:val="bottom"/>
          </w:tcPr>
          <w:p>
            <w:pPr>
              <w:spacing w:after="0"/>
              <w:rPr>
                <w:sz w:val="20"/>
                <w:szCs w:val="20"/>
                <w:color w:val="auto"/>
              </w:rPr>
            </w:pPr>
            <w:r>
              <w:rPr>
                <w:rFonts w:ascii="Arial" w:cs="Arial" w:eastAsia="Arial" w:hAnsi="Arial"/>
                <w:sz w:val="18"/>
                <w:szCs w:val="18"/>
                <w:color w:val="auto"/>
              </w:rPr>
              <w:t xml:space="preserve">All Other Fees </w:t>
            </w:r>
            <w:r>
              <w:rPr>
                <w:rFonts w:ascii="Arial" w:cs="Arial" w:eastAsia="Arial" w:hAnsi="Arial"/>
                <w:sz w:val="30"/>
                <w:szCs w:val="30"/>
                <w:color w:val="auto"/>
                <w:vertAlign w:val="superscript"/>
              </w:rPr>
              <w:t>(d)</w:t>
            </w:r>
          </w:p>
        </w:tc>
        <w:tc>
          <w:tcPr>
            <w:tcW w:w="2940" w:type="dxa"/>
            <w:vAlign w:val="bottom"/>
            <w:gridSpan w:val="3"/>
          </w:tcPr>
          <w:p>
            <w:pPr>
              <w:jc w:val="right"/>
              <w:ind w:right="680"/>
              <w:spacing w:after="0"/>
              <w:rPr>
                <w:sz w:val="20"/>
                <w:szCs w:val="20"/>
                <w:color w:val="auto"/>
              </w:rPr>
            </w:pPr>
            <w:r>
              <w:rPr>
                <w:rFonts w:ascii="Arial" w:cs="Arial" w:eastAsia="Arial" w:hAnsi="Arial"/>
                <w:sz w:val="18"/>
                <w:szCs w:val="18"/>
                <w:color w:val="auto"/>
              </w:rPr>
              <w:t>3,315</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5,320</w:t>
            </w:r>
          </w:p>
        </w:tc>
      </w:tr>
    </w:tbl>
    <w:p>
      <w:pPr>
        <w:spacing w:after="0" w:line="89" w:lineRule="exact"/>
        <w:rPr>
          <w:sz w:val="20"/>
          <w:szCs w:val="20"/>
          <w:color w:val="auto"/>
        </w:rPr>
      </w:pPr>
    </w:p>
    <w:p>
      <w:pPr>
        <w:ind w:left="300" w:right="140" w:hanging="300"/>
        <w:spacing w:after="0" w:line="236" w:lineRule="auto"/>
        <w:tabs>
          <w:tab w:leader="none" w:pos="3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fees in this category were for professional services rendered in connection with (1) the audits of the Company’s annual financial statements, including the Company’s internal control over financial reporting, included in the Company’s Annual Report on Form 10-K, (2) the review of the Company’s quarterly financial statements included in its Quarterly Reports on Form 10-Q, (3) audits of the Company’s subsidiaries, and (4) services that generally only the Company’s independent registered public accounting firm reasonably can provide, such as comfort letters and consents.</w:t>
      </w:r>
    </w:p>
    <w:p>
      <w:pPr>
        <w:spacing w:after="0" w:line="113" w:lineRule="exact"/>
        <w:rPr>
          <w:rFonts w:ascii="Arial" w:cs="Arial" w:eastAsia="Arial" w:hAnsi="Arial"/>
          <w:sz w:val="14"/>
          <w:szCs w:val="14"/>
          <w:color w:val="auto"/>
        </w:rPr>
      </w:pPr>
    </w:p>
    <w:p>
      <w:pPr>
        <w:ind w:left="300" w:right="340" w:hanging="300"/>
        <w:spacing w:after="0" w:line="259" w:lineRule="auto"/>
        <w:tabs>
          <w:tab w:leader="none" w:pos="3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fees in this category were for professional services rendered in connection with agreed upon procedures and accounting and reporting consultations related to certain transactions.</w:t>
      </w:r>
    </w:p>
    <w:p>
      <w:pPr>
        <w:spacing w:after="0" w:line="100" w:lineRule="exact"/>
        <w:rPr>
          <w:rFonts w:ascii="Arial" w:cs="Arial" w:eastAsia="Arial" w:hAnsi="Arial"/>
          <w:sz w:val="14"/>
          <w:szCs w:val="14"/>
          <w:color w:val="auto"/>
        </w:rPr>
      </w:pPr>
    </w:p>
    <w:p>
      <w:pPr>
        <w:ind w:left="300" w:hanging="300"/>
        <w:spacing w:after="0"/>
        <w:tabs>
          <w:tab w:leader="none" w:pos="3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fees in this category were for professional services rendered in connection with tax strategy assistance and tax compliance services.</w:t>
      </w:r>
    </w:p>
    <w:p>
      <w:pPr>
        <w:spacing w:after="0" w:line="137" w:lineRule="exact"/>
        <w:rPr>
          <w:rFonts w:ascii="Arial" w:cs="Arial" w:eastAsia="Arial" w:hAnsi="Arial"/>
          <w:sz w:val="14"/>
          <w:szCs w:val="14"/>
          <w:color w:val="auto"/>
        </w:rPr>
      </w:pPr>
    </w:p>
    <w:p>
      <w:pPr>
        <w:ind w:left="220" w:hanging="220"/>
        <w:spacing w:after="0"/>
        <w:tabs>
          <w:tab w:leader="none" w:pos="2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fees in this category were for access to PwC’s proprietary technical accounting research and financial statement disclosure software tools.</w:t>
      </w:r>
    </w:p>
    <w:p>
      <w:pPr>
        <w:spacing w:after="0" w:line="137" w:lineRule="exact"/>
        <w:rPr>
          <w:rFonts w:ascii="Arial" w:cs="Arial" w:eastAsia="Arial" w:hAnsi="Arial"/>
          <w:sz w:val="14"/>
          <w:szCs w:val="14"/>
          <w:color w:val="auto"/>
        </w:rPr>
      </w:pPr>
    </w:p>
    <w:p>
      <w:pPr>
        <w:ind w:left="220" w:hanging="220"/>
        <w:spacing w:after="0"/>
        <w:tabs>
          <w:tab w:leader="none" w:pos="2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fees reported include expense reimbursements of $318,809 and $349,029 in 2025 and 2024, respectively.</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40"/>
          </w:cols>
          <w:pgMar w:left="320" w:top="803" w:right="33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8"/>
          <w:szCs w:val="18"/>
          <w:b w:val="1"/>
          <w:bCs w:val="1"/>
          <w:i w:val="1"/>
          <w:iCs w:val="1"/>
          <w:color w:val="auto"/>
        </w:rPr>
        <w:t>PROPOSAL 2</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ADVISORY VOTE ON EXECUTIVE COMPENSATION</w:t>
      </w:r>
    </w:p>
    <w:p>
      <w:pPr>
        <w:spacing w:after="0" w:line="191" w:lineRule="exact"/>
        <w:rPr>
          <w:sz w:val="20"/>
          <w:szCs w:val="20"/>
          <w:color w:val="auto"/>
        </w:rPr>
      </w:pPr>
    </w:p>
    <w:p>
      <w:pPr>
        <w:ind w:right="240" w:firstLine="299"/>
        <w:spacing w:after="0" w:line="250" w:lineRule="auto"/>
        <w:rPr>
          <w:sz w:val="20"/>
          <w:szCs w:val="20"/>
          <w:color w:val="auto"/>
        </w:rPr>
      </w:pPr>
      <w:r>
        <w:rPr>
          <w:rFonts w:ascii="Arial" w:cs="Arial" w:eastAsia="Arial" w:hAnsi="Arial"/>
          <w:sz w:val="18"/>
          <w:szCs w:val="18"/>
          <w:color w:val="auto"/>
        </w:rPr>
        <w:t>Pursuant to Section 14A of the Securities Exchange Act of 1934, in this Proposal 2 we are asking you to provide approval, on an advisory basis, of the compensation of the Named Executive Officers as disclosed in the section of this proxy statement titled “Executive Compensation.” You are being asked to vote on the following advisory resolution:</w:t>
      </w:r>
    </w:p>
    <w:p>
      <w:pPr>
        <w:spacing w:after="0" w:line="150" w:lineRule="exact"/>
        <w:rPr>
          <w:sz w:val="20"/>
          <w:szCs w:val="20"/>
          <w:color w:val="auto"/>
        </w:rPr>
      </w:pPr>
    </w:p>
    <w:p>
      <w:pPr>
        <w:jc w:val="both"/>
        <w:ind w:left="600" w:right="1140"/>
        <w:spacing w:after="0" w:line="250" w:lineRule="auto"/>
        <w:rPr>
          <w:sz w:val="20"/>
          <w:szCs w:val="20"/>
          <w:color w:val="auto"/>
        </w:rPr>
      </w:pPr>
      <w:r>
        <w:rPr>
          <w:rFonts w:ascii="Arial" w:cs="Arial" w:eastAsia="Arial" w:hAnsi="Arial"/>
          <w:sz w:val="18"/>
          <w:szCs w:val="18"/>
          <w:color w:val="auto"/>
        </w:rPr>
        <w:t>RESOLVED, that the compensation paid to the Company’s Named Executive Officers, as disclosed in the Company’s proxy statement dated April 1, 2026, pursuant to Item 402 of Regulation S-K, including the Compensation Discussion &amp; Analysis, compensation tables and narrative discussion, is hereby APPROVED.</w:t>
      </w:r>
    </w:p>
    <w:p>
      <w:pPr>
        <w:spacing w:after="0" w:line="150" w:lineRule="exact"/>
        <w:rPr>
          <w:sz w:val="20"/>
          <w:szCs w:val="20"/>
          <w:color w:val="auto"/>
        </w:rPr>
      </w:pPr>
    </w:p>
    <w:p>
      <w:pPr>
        <w:ind w:firstLine="299"/>
        <w:spacing w:after="0" w:line="244" w:lineRule="auto"/>
        <w:rPr>
          <w:sz w:val="20"/>
          <w:szCs w:val="20"/>
          <w:color w:val="auto"/>
        </w:rPr>
      </w:pPr>
      <w:r>
        <w:rPr>
          <w:rFonts w:ascii="Arial" w:cs="Arial" w:eastAsia="Arial" w:hAnsi="Arial"/>
          <w:sz w:val="18"/>
          <w:szCs w:val="18"/>
          <w:color w:val="auto"/>
        </w:rPr>
        <w:t>The Board of Directors believes that the compensation policies and practices described in the Compensation Discussion &amp; Analysis are effective in achieving the Company’s primary goal of creating superior growth in our values per share over long periods of time, as well as motivating and retaining our key executives. The compensation of our Named Executive Officers is heavily weighted toward variable long-term compensation, the value of which is tied to performance over a number of years.</w:t>
      </w:r>
    </w:p>
    <w:p>
      <w:pPr>
        <w:spacing w:after="0" w:line="154" w:lineRule="exact"/>
        <w:rPr>
          <w:sz w:val="20"/>
          <w:szCs w:val="20"/>
          <w:color w:val="auto"/>
        </w:rPr>
      </w:pPr>
    </w:p>
    <w:p>
      <w:pPr>
        <w:ind w:right="40" w:firstLine="299"/>
        <w:spacing w:after="0" w:line="250" w:lineRule="auto"/>
        <w:rPr>
          <w:sz w:val="20"/>
          <w:szCs w:val="20"/>
          <w:color w:val="auto"/>
        </w:rPr>
      </w:pPr>
      <w:r>
        <w:rPr>
          <w:rFonts w:ascii="Arial" w:cs="Arial" w:eastAsia="Arial" w:hAnsi="Arial"/>
          <w:sz w:val="18"/>
          <w:szCs w:val="18"/>
          <w:color w:val="auto"/>
        </w:rPr>
        <w:t>We urge you to read the Compensation Discussion &amp; Analysis, beginning on page 29 of this proxy statement, as well as the 2025 summary compensation table and related compensation tables and narrative, beginning on page 44, which provide detailed information on the Company’s compensation policies and practices and the compensation of our Named Executive Officers.</w:t>
      </w:r>
    </w:p>
    <w:p>
      <w:pPr>
        <w:spacing w:after="0" w:line="150" w:lineRule="exact"/>
        <w:rPr>
          <w:sz w:val="20"/>
          <w:szCs w:val="20"/>
          <w:color w:val="auto"/>
        </w:rPr>
      </w:pPr>
    </w:p>
    <w:p>
      <w:pPr>
        <w:ind w:right="180" w:firstLine="299"/>
        <w:spacing w:after="0" w:line="270" w:lineRule="auto"/>
        <w:rPr>
          <w:sz w:val="20"/>
          <w:szCs w:val="20"/>
          <w:color w:val="auto"/>
        </w:rPr>
      </w:pPr>
      <w:r>
        <w:rPr>
          <w:rFonts w:ascii="Arial" w:cs="Arial" w:eastAsia="Arial" w:hAnsi="Arial"/>
          <w:sz w:val="18"/>
          <w:szCs w:val="18"/>
          <w:color w:val="auto"/>
        </w:rPr>
        <w:t>Although the vote is non-binding, the Board of Directors and the Compensation/Nominating &amp; Governance Committee will review and consider the voting results when evaluating our executive compensation program.</w:t>
      </w:r>
    </w:p>
    <w:p>
      <w:pPr>
        <w:spacing w:after="0" w:line="132" w:lineRule="exact"/>
        <w:rPr>
          <w:sz w:val="20"/>
          <w:szCs w:val="20"/>
          <w:color w:val="auto"/>
        </w:rPr>
      </w:pPr>
    </w:p>
    <w:p>
      <w:pPr>
        <w:ind w:right="920" w:firstLine="299"/>
        <w:spacing w:after="0" w:line="281" w:lineRule="auto"/>
        <w:rPr>
          <w:sz w:val="20"/>
          <w:szCs w:val="20"/>
          <w:color w:val="auto"/>
        </w:rPr>
      </w:pPr>
      <w:r>
        <w:rPr>
          <w:rFonts w:ascii="Arial" w:cs="Arial" w:eastAsia="Arial" w:hAnsi="Arial"/>
          <w:sz w:val="18"/>
          <w:szCs w:val="18"/>
          <w:b w:val="1"/>
          <w:bCs w:val="1"/>
          <w:color w:val="auto"/>
        </w:rPr>
        <w:t>The Board recommends a vote FOR Proposal 2 which calls for the approval of the advisory resolution on executive compensation.</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00"/>
          </w:cols>
          <w:pgMar w:left="320" w:top="892" w:right="379" w:bottom="1440" w:gutter="0" w:footer="0" w:header="0"/>
        </w:sectPr>
      </w:pPr>
    </w:p>
    <w:bookmarkStart w:id="63" w:name="page64"/>
    <w:bookmarkEnd w:id="63"/>
    <w:p>
      <w:pPr>
        <w:ind w:left="5040"/>
        <w:spacing w:after="0"/>
        <w:rPr>
          <w:sz w:val="20"/>
          <w:szCs w:val="20"/>
          <w:color w:val="auto"/>
        </w:rPr>
      </w:pPr>
      <w:r>
        <w:rPr>
          <w:rFonts w:ascii="Arial" w:cs="Arial" w:eastAsia="Arial" w:hAnsi="Arial"/>
          <w:sz w:val="18"/>
          <w:szCs w:val="18"/>
          <w:b w:val="1"/>
          <w:bCs w:val="1"/>
          <w:i w:val="1"/>
          <w:iCs w:val="1"/>
          <w:color w:val="auto"/>
        </w:rPr>
        <w:t>PROPOSAL 3</w:t>
      </w:r>
    </w:p>
    <w:p>
      <w:pPr>
        <w:spacing w:after="0" w:line="18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APPROVAL OF THE APPOINTMENT OF</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INDEPENDENT REGISTERED PUBLIC ACCOUNTING FIRM FOR 2026</w:t>
      </w:r>
    </w:p>
    <w:p>
      <w:pPr>
        <w:spacing w:after="0" w:line="173" w:lineRule="exact"/>
        <w:rPr>
          <w:sz w:val="20"/>
          <w:szCs w:val="20"/>
          <w:color w:val="auto"/>
        </w:rPr>
      </w:pPr>
    </w:p>
    <w:p>
      <w:pPr>
        <w:ind w:right="440" w:firstLine="299"/>
        <w:spacing w:after="0" w:line="244" w:lineRule="auto"/>
        <w:rPr>
          <w:sz w:val="20"/>
          <w:szCs w:val="20"/>
          <w:color w:val="auto"/>
        </w:rPr>
      </w:pPr>
      <w:r>
        <w:rPr>
          <w:rFonts w:ascii="Arial" w:cs="Arial" w:eastAsia="Arial" w:hAnsi="Arial"/>
          <w:sz w:val="18"/>
          <w:szCs w:val="18"/>
          <w:color w:val="auto"/>
        </w:rPr>
        <w:t>Subject to shareholder approval, the Audit Committee of the Board has appointed PwC as the Company’s independent registered public accounting firm for 2026. Further, shareholders are being asked to authorize the Audit Committee to negotiate and fix the remuneration to be paid to PwC in connection with its service. Representatives from PwC will attend the 2026 Annual Meeting, will be provided with the opportunity to make a statement and will be available to answer appropriate questions.</w:t>
      </w:r>
    </w:p>
    <w:p>
      <w:pPr>
        <w:spacing w:after="0" w:line="154" w:lineRule="exact"/>
        <w:rPr>
          <w:sz w:val="20"/>
          <w:szCs w:val="20"/>
          <w:color w:val="auto"/>
        </w:rPr>
      </w:pPr>
    </w:p>
    <w:p>
      <w:pPr>
        <w:ind w:firstLine="299"/>
        <w:spacing w:after="0" w:line="281" w:lineRule="auto"/>
        <w:rPr>
          <w:sz w:val="20"/>
          <w:szCs w:val="20"/>
          <w:color w:val="auto"/>
        </w:rPr>
      </w:pPr>
      <w:r>
        <w:rPr>
          <w:rFonts w:ascii="Arial" w:cs="Arial" w:eastAsia="Arial" w:hAnsi="Arial"/>
          <w:sz w:val="18"/>
          <w:szCs w:val="18"/>
          <w:b w:val="1"/>
          <w:bCs w:val="1"/>
          <w:color w:val="auto"/>
        </w:rPr>
        <w:t>The Board recommends a vote FOR Proposal 3 approving the appointment of PwC as the Company’s Independent Registered Public Accounting Firm for 2026.</w:t>
      </w: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180"/>
          </w:cols>
          <w:pgMar w:left="320" w:top="805" w:right="39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OTHER MATTERS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Manner of Voting Proxies</w:t>
      </w:r>
    </w:p>
    <w:p>
      <w:pPr>
        <w:spacing w:after="0" w:line="189" w:lineRule="exact"/>
        <w:rPr>
          <w:sz w:val="20"/>
          <w:szCs w:val="20"/>
          <w:color w:val="auto"/>
        </w:rPr>
      </w:pPr>
    </w:p>
    <w:p>
      <w:pPr>
        <w:ind w:right="180" w:firstLine="299"/>
        <w:spacing w:after="0" w:line="250" w:lineRule="auto"/>
        <w:rPr>
          <w:sz w:val="20"/>
          <w:szCs w:val="20"/>
          <w:color w:val="auto"/>
        </w:rPr>
      </w:pPr>
      <w:r>
        <w:rPr>
          <w:rFonts w:ascii="Arial" w:cs="Arial" w:eastAsia="Arial" w:hAnsi="Arial"/>
          <w:sz w:val="18"/>
          <w:szCs w:val="18"/>
          <w:color w:val="auto"/>
        </w:rPr>
        <w:t>Common shares represented by all valid proxies received will be voted in the manner specified in the proxies. Where specific choices are not indicated, the common shares represented by all valid proxies received will be voted in accordance with the Board’s recommendation for each of the proposals named earlier in this Proxy Statement.</w:t>
      </w:r>
    </w:p>
    <w:p>
      <w:pPr>
        <w:spacing w:after="0" w:line="150" w:lineRule="exact"/>
        <w:rPr>
          <w:sz w:val="20"/>
          <w:szCs w:val="20"/>
          <w:color w:val="auto"/>
        </w:rPr>
      </w:pPr>
    </w:p>
    <w:p>
      <w:pPr>
        <w:ind w:right="380" w:firstLine="299"/>
        <w:spacing w:after="0" w:line="270" w:lineRule="auto"/>
        <w:rPr>
          <w:sz w:val="20"/>
          <w:szCs w:val="20"/>
          <w:color w:val="auto"/>
        </w:rPr>
      </w:pPr>
      <w:r>
        <w:rPr>
          <w:rFonts w:ascii="Arial" w:cs="Arial" w:eastAsia="Arial" w:hAnsi="Arial"/>
          <w:sz w:val="18"/>
          <w:szCs w:val="18"/>
          <w:color w:val="auto"/>
        </w:rPr>
        <w:t>In the case of common shares held in employee benefit plans, the trustee will typically vote all common shares within such plans in direct proportion to those common shares actually voted by plan participants.</w:t>
      </w:r>
    </w:p>
    <w:p>
      <w:pPr>
        <w:spacing w:after="0" w:line="132" w:lineRule="exact"/>
        <w:rPr>
          <w:sz w:val="20"/>
          <w:szCs w:val="20"/>
          <w:color w:val="auto"/>
        </w:rPr>
      </w:pPr>
    </w:p>
    <w:p>
      <w:pPr>
        <w:ind w:right="20" w:firstLine="299"/>
        <w:spacing w:after="0" w:line="270" w:lineRule="auto"/>
        <w:rPr>
          <w:sz w:val="20"/>
          <w:szCs w:val="20"/>
          <w:color w:val="auto"/>
        </w:rPr>
      </w:pPr>
      <w:r>
        <w:rPr>
          <w:rFonts w:ascii="Arial" w:cs="Arial" w:eastAsia="Arial" w:hAnsi="Arial"/>
          <w:sz w:val="18"/>
          <w:szCs w:val="18"/>
          <w:color w:val="auto"/>
        </w:rPr>
        <w:t>Should any matter not described above be acted upon at the meeting, the persons named in the proxy card will vote in accordance with their judgment. The Board knows of no other matters which are to be considered at the 2026 Annual Meeting.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Votes Required for Approval</w:t>
      </w:r>
    </w:p>
    <w:p>
      <w:pPr>
        <w:spacing w:after="0" w:line="189" w:lineRule="exact"/>
        <w:rPr>
          <w:sz w:val="20"/>
          <w:szCs w:val="20"/>
          <w:color w:val="auto"/>
        </w:rPr>
      </w:pPr>
    </w:p>
    <w:p>
      <w:pPr>
        <w:ind w:right="140" w:firstLine="299"/>
        <w:spacing w:after="0" w:line="236" w:lineRule="auto"/>
        <w:rPr>
          <w:sz w:val="20"/>
          <w:szCs w:val="20"/>
          <w:color w:val="auto"/>
        </w:rPr>
      </w:pPr>
      <w:r>
        <w:rPr>
          <w:rFonts w:ascii="Arial" w:cs="Arial" w:eastAsia="Arial" w:hAnsi="Arial"/>
          <w:sz w:val="18"/>
          <w:szCs w:val="18"/>
          <w:color w:val="auto"/>
        </w:rPr>
        <w:t>With respect to the election of directors, the nominees will be elected if the number of votes cast “for” such nominee exceeds the number of votes cast “against” that nominee. If an incumbent director in an uncontested election receives less than a simple majority of votes cast “for” that director, the director is required to submit a letter of resignation to the Board of Directors, which the Board may either accept or reject in accordance with the Company’s Bye-laws. The majority vote standard is not applicable to contested director elections, which are determined by a plurality of the votes cast. A plurality of votes cast means that the nominee receiving the highest number of affirmative votes is elected, irrespective of how small the number of affirmative votes is in comparison to the total number of shares voted. The other proposals require the affirmative vote of a majority of the voting power held by holders of common shares present at the 2026 Annual General Meeting, in person or by proxy, provided a quorum is present.</w:t>
      </w:r>
    </w:p>
    <w:p>
      <w:pPr>
        <w:spacing w:after="0" w:line="164" w:lineRule="exact"/>
        <w:rPr>
          <w:sz w:val="20"/>
          <w:szCs w:val="20"/>
          <w:color w:val="auto"/>
        </w:rPr>
      </w:pPr>
    </w:p>
    <w:p>
      <w:pPr>
        <w:ind w:right="180" w:firstLine="299"/>
        <w:spacing w:after="0" w:line="270" w:lineRule="auto"/>
        <w:rPr>
          <w:sz w:val="20"/>
          <w:szCs w:val="20"/>
          <w:color w:val="auto"/>
        </w:rPr>
      </w:pPr>
      <w:r>
        <w:rPr>
          <w:rFonts w:ascii="Arial" w:cs="Arial" w:eastAsia="Arial" w:hAnsi="Arial"/>
          <w:sz w:val="18"/>
          <w:szCs w:val="18"/>
          <w:color w:val="auto"/>
        </w:rPr>
        <w:t>Broker discretionary voting is permitted only for the proposed ratification of the appointment of the Company’s independent registered public accounting firm. Broker non-votes and abstentions will not be counted as votes cast for or against any of the items presented.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Inspectors of Election</w:t>
      </w:r>
    </w:p>
    <w:p>
      <w:pPr>
        <w:spacing w:after="0" w:line="189" w:lineRule="exact"/>
        <w:rPr>
          <w:sz w:val="20"/>
          <w:szCs w:val="20"/>
          <w:color w:val="auto"/>
        </w:rPr>
      </w:pPr>
    </w:p>
    <w:p>
      <w:pPr>
        <w:ind w:right="240" w:firstLine="299"/>
        <w:spacing w:after="0" w:line="250" w:lineRule="auto"/>
        <w:rPr>
          <w:sz w:val="20"/>
          <w:szCs w:val="20"/>
          <w:color w:val="auto"/>
        </w:rPr>
      </w:pPr>
      <w:r>
        <w:rPr>
          <w:rFonts w:ascii="Arial" w:cs="Arial" w:eastAsia="Arial" w:hAnsi="Arial"/>
          <w:sz w:val="18"/>
          <w:szCs w:val="18"/>
          <w:color w:val="auto"/>
        </w:rPr>
        <w:t>Computershare Trust Company, N.A., 111 Town Square Place, Suite 1505, Jersey City, New Jersey 07310, has been appointed as Inspectors of Election for the 2026 Annual Meeting. Representatives of Computershare will attend the Annual Meeting and receive votes and ballots, supervise the counting and tabulating of all votes and ballots and determine the results of the vote.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Solicitation</w:t>
      </w:r>
    </w:p>
    <w:p>
      <w:pPr>
        <w:spacing w:after="0" w:line="189" w:lineRule="exact"/>
        <w:rPr>
          <w:sz w:val="20"/>
          <w:szCs w:val="20"/>
          <w:color w:val="auto"/>
        </w:rPr>
      </w:pPr>
    </w:p>
    <w:p>
      <w:pPr>
        <w:jc w:val="both"/>
        <w:ind w:right="100" w:firstLine="299"/>
        <w:spacing w:after="0" w:line="244" w:lineRule="auto"/>
        <w:rPr>
          <w:sz w:val="20"/>
          <w:szCs w:val="20"/>
          <w:color w:val="auto"/>
        </w:rPr>
      </w:pPr>
      <w:r>
        <w:rPr>
          <w:rFonts w:ascii="Arial" w:cs="Arial" w:eastAsia="Arial" w:hAnsi="Arial"/>
          <w:sz w:val="18"/>
          <w:szCs w:val="18"/>
          <w:color w:val="auto"/>
        </w:rPr>
        <w:t>The solicitation of proxies will be made primarily by mail; however, directors, officers, employees and agents of the Company may also solicit proxies by telephone, internet or personal interview. Solicitation costs will be paid by the Company. Upon request, the Company will reimburse banks, brokerage houses and other custodians, nominees and fiduciaries for their reasonable expenses incurred in forwarding proxy materials to their principals.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Delivery of Documents to Shareholders Sharing an Address</w:t>
      </w:r>
    </w:p>
    <w:p>
      <w:pPr>
        <w:spacing w:after="0" w:line="189" w:lineRule="exact"/>
        <w:rPr>
          <w:sz w:val="20"/>
          <w:szCs w:val="20"/>
          <w:color w:val="auto"/>
        </w:rPr>
      </w:pPr>
    </w:p>
    <w:p>
      <w:pPr>
        <w:ind w:firstLine="299"/>
        <w:spacing w:after="0" w:line="238" w:lineRule="auto"/>
        <w:rPr>
          <w:sz w:val="20"/>
          <w:szCs w:val="20"/>
          <w:color w:val="auto"/>
        </w:rPr>
      </w:pPr>
      <w:r>
        <w:rPr>
          <w:rFonts w:ascii="Arial" w:cs="Arial" w:eastAsia="Arial" w:hAnsi="Arial"/>
          <w:sz w:val="18"/>
          <w:szCs w:val="18"/>
          <w:color w:val="auto"/>
        </w:rPr>
        <w:t>SEC regulations permit a single set of the Annual Report and Proxy Statement to be sent to any household at which two or more shareholders reside if they appear to be members of the same family. Each shareholder will continue to receive a separate proxy card. This procedure, referred to as house-holding, reduces the volume of duplicate information shareholders receive and reduces our mailing and printing costs. Those shareholders who desire additional copies of this document or would like to receive separate copies of this document in the future should contact their bank, broker or other holder of record or the Corporate Secretary at the address presented under “Available Information” below.</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20"/>
          </w:cols>
          <w:pgMar w:left="320" w:top="803"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189" w:lineRule="exact"/>
        <w:rPr>
          <w:sz w:val="20"/>
          <w:szCs w:val="20"/>
          <w:color w:val="auto"/>
        </w:rPr>
      </w:pPr>
    </w:p>
    <w:p>
      <w:pPr>
        <w:ind w:right="80" w:firstLine="299"/>
        <w:spacing w:after="0" w:line="238" w:lineRule="auto"/>
        <w:rPr>
          <w:sz w:val="20"/>
          <w:szCs w:val="20"/>
          <w:color w:val="auto"/>
        </w:rPr>
      </w:pPr>
      <w:r>
        <w:rPr>
          <w:rFonts w:ascii="Arial" w:cs="Arial" w:eastAsia="Arial" w:hAnsi="Arial"/>
          <w:sz w:val="18"/>
          <w:szCs w:val="18"/>
          <w:color w:val="auto"/>
        </w:rPr>
        <w:t xml:space="preserve">The Company is subject to the informational reporting requirements of the Exchange Act. In accordance therewith, the Company files reports, proxy statements and other information with the SEC. These documents are available at </w:t>
      </w:r>
      <w:r>
        <w:rPr>
          <w:rFonts w:ascii="Arial" w:cs="Arial" w:eastAsia="Arial" w:hAnsi="Arial"/>
          <w:sz w:val="18"/>
          <w:szCs w:val="18"/>
          <w:u w:val="single" w:color="auto"/>
          <w:color w:val="0000FF"/>
        </w:rPr>
        <w:t>www.sec.gov</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www.whitemountains.com</w:t>
      </w:r>
      <w:r>
        <w:rPr>
          <w:rFonts w:ascii="Arial" w:cs="Arial" w:eastAsia="Arial" w:hAnsi="Arial"/>
          <w:sz w:val="18"/>
          <w:szCs w:val="18"/>
          <w:color w:val="0000FF"/>
        </w:rPr>
        <w:t xml:space="preserve"> </w:t>
      </w:r>
      <w:r>
        <w:rPr>
          <w:rFonts w:ascii="Arial" w:cs="Arial" w:eastAsia="Arial" w:hAnsi="Arial"/>
          <w:sz w:val="18"/>
          <w:szCs w:val="18"/>
          <w:color w:val="000000"/>
        </w:rPr>
        <w:t>shortly after such material is electronically filed with or furnished to the SEC. In addition, the Company’s code of</w:t>
      </w:r>
      <w:r>
        <w:rPr>
          <w:rFonts w:ascii="Arial" w:cs="Arial" w:eastAsia="Arial" w:hAnsi="Arial"/>
          <w:sz w:val="18"/>
          <w:szCs w:val="18"/>
          <w:color w:val="0000FF"/>
        </w:rPr>
        <w:t xml:space="preserve"> </w:t>
      </w:r>
      <w:r>
        <w:rPr>
          <w:rFonts w:ascii="Arial" w:cs="Arial" w:eastAsia="Arial" w:hAnsi="Arial"/>
          <w:sz w:val="18"/>
          <w:szCs w:val="18"/>
          <w:color w:val="000000"/>
        </w:rPr>
        <w:t xml:space="preserve">business conduct and ethics as well as the various charters governing the actions of certain of the Company’s Committees of its Board of Directors, including its Audit Committee and Compensation/Nominating &amp; Governance Committee, are available at </w:t>
      </w:r>
      <w:r>
        <w:rPr>
          <w:rFonts w:ascii="Arial" w:cs="Arial" w:eastAsia="Arial" w:hAnsi="Arial"/>
          <w:sz w:val="18"/>
          <w:szCs w:val="18"/>
          <w:u w:val="single" w:color="auto"/>
          <w:color w:val="0000FF"/>
        </w:rPr>
        <w:t>www.whitemountains.com</w:t>
      </w:r>
      <w:r>
        <w:rPr>
          <w:rFonts w:ascii="Arial" w:cs="Arial" w:eastAsia="Arial" w:hAnsi="Arial"/>
          <w:sz w:val="18"/>
          <w:szCs w:val="18"/>
          <w:color w:val="000000"/>
        </w:rPr>
        <w:t>.</w:t>
      </w:r>
    </w:p>
    <w:p>
      <w:pPr>
        <w:spacing w:after="0" w:line="150" w:lineRule="exact"/>
        <w:rPr>
          <w:sz w:val="20"/>
          <w:szCs w:val="20"/>
          <w:color w:val="auto"/>
        </w:rPr>
      </w:pPr>
    </w:p>
    <w:p>
      <w:pPr>
        <w:jc w:val="both"/>
        <w:ind w:right="200" w:firstLine="299"/>
        <w:spacing w:after="0" w:line="256" w:lineRule="auto"/>
        <w:rPr>
          <w:sz w:val="20"/>
          <w:szCs w:val="20"/>
          <w:color w:val="auto"/>
        </w:rPr>
      </w:pPr>
      <w:r>
        <w:rPr>
          <w:rFonts w:ascii="Arial" w:cs="Arial" w:eastAsia="Arial" w:hAnsi="Arial"/>
          <w:sz w:val="18"/>
          <w:szCs w:val="18"/>
          <w:b w:val="1"/>
          <w:bCs w:val="1"/>
          <w:color w:val="auto"/>
        </w:rPr>
        <w:t>The Company will provide to any shareholder, upon request and without charge, copies of these documents (excluding any applicable exhibits unless specifically requested). Written or telephone requests should be directed to the Corporate Secretary, White Mountains Insurance Group, Ltd., 26 Reid Street, Hamilton HM 11, Bermuda, telephone number (441) 278-3160.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Measures</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Information regarding the calculation of non-GAAP financial measures contained in this proxy statement can be found in Annex A:</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Non-GAAP Measures.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Availability of Proxy Materials</w:t>
      </w:r>
    </w:p>
    <w:p>
      <w:pPr>
        <w:spacing w:after="0" w:line="189" w:lineRule="exact"/>
        <w:rPr>
          <w:sz w:val="20"/>
          <w:szCs w:val="20"/>
          <w:color w:val="auto"/>
        </w:rPr>
      </w:pPr>
    </w:p>
    <w:p>
      <w:pPr>
        <w:ind w:right="360" w:firstLine="299"/>
        <w:spacing w:after="0" w:line="250" w:lineRule="auto"/>
        <w:rPr>
          <w:sz w:val="20"/>
          <w:szCs w:val="20"/>
          <w:color w:val="auto"/>
        </w:rPr>
      </w:pPr>
      <w:r>
        <w:rPr>
          <w:rFonts w:ascii="Arial" w:cs="Arial" w:eastAsia="Arial" w:hAnsi="Arial"/>
          <w:sz w:val="18"/>
          <w:szCs w:val="18"/>
          <w:color w:val="auto"/>
        </w:rPr>
        <w:t>Proxy materials for the 2026 Annual General Meeting, including the Chief Executive Officer’s Letter, Notice of 2026 Annual General Meeting of Members and Proxy Statement and the 2025 Management Report are available online for viewing and downloading at: www.edocumentview.com/wtm.</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Offices of the Company</w:t>
      </w:r>
    </w:p>
    <w:p>
      <w:pPr>
        <w:spacing w:after="0" w:line="189" w:lineRule="exact"/>
        <w:rPr>
          <w:sz w:val="20"/>
          <w:szCs w:val="20"/>
          <w:color w:val="auto"/>
        </w:rPr>
      </w:pPr>
    </w:p>
    <w:p>
      <w:pPr>
        <w:ind w:right="420" w:firstLine="299"/>
        <w:spacing w:after="0" w:line="250" w:lineRule="auto"/>
        <w:rPr>
          <w:sz w:val="20"/>
          <w:szCs w:val="20"/>
          <w:color w:val="auto"/>
        </w:rPr>
      </w:pPr>
      <w:r>
        <w:rPr>
          <w:rFonts w:ascii="Arial" w:cs="Arial" w:eastAsia="Arial" w:hAnsi="Arial"/>
          <w:sz w:val="18"/>
          <w:szCs w:val="18"/>
          <w:color w:val="auto"/>
        </w:rPr>
        <w:t>The Company’s headquarters is located at A.S. Cooper Building, 26 Reid Street, Hamilton HM 11, Bermuda, its principal executive office is located at 23 South Main Street, Suite 3B, Hanover, New Hampshire 03755, and its registered office is located at Clarendon House, 2 Church Street, Hamilton HM 11, Bermuda.</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Proposals by Shareholders for the 2027 Annual Meeting of Members</w:t>
      </w:r>
    </w:p>
    <w:p>
      <w:pPr>
        <w:spacing w:after="0" w:line="189" w:lineRule="exact"/>
        <w:rPr>
          <w:sz w:val="20"/>
          <w:szCs w:val="20"/>
          <w:color w:val="auto"/>
        </w:rPr>
      </w:pPr>
    </w:p>
    <w:p>
      <w:pPr>
        <w:ind w:firstLine="299"/>
        <w:spacing w:after="0" w:line="244" w:lineRule="auto"/>
        <w:rPr>
          <w:sz w:val="20"/>
          <w:szCs w:val="20"/>
          <w:color w:val="auto"/>
        </w:rPr>
      </w:pPr>
      <w:r>
        <w:rPr>
          <w:rFonts w:ascii="Arial" w:cs="Arial" w:eastAsia="Arial" w:hAnsi="Arial"/>
          <w:sz w:val="18"/>
          <w:szCs w:val="18"/>
          <w:color w:val="auto"/>
        </w:rPr>
        <w:t>Shareholder proposals (other than proposals nominating director candidates for which the procedures are outlined on page 22) must be received in writing by the Secretary of the Company no later than Wednesday, December 2, 2026 and must comply with the requirements of SEC Rule 14a-8 promulgated under the Securities Exchange Act in order to be considered for inclusion in the Company’s proxy statement relating to the Annual Meeting to be held in 2027.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Jennifer L. Moyer,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20"/>
          </w:cols>
          <w:pgMar w:left="320" w:top="817" w:right="359" w:bottom="1440" w:gutter="0" w:footer="0" w:header="0"/>
        </w:sectPr>
      </w:pPr>
    </w:p>
    <w:bookmarkStart w:id="66" w:name="page67"/>
    <w:bookmarkEnd w:id="66"/>
    <w:p>
      <w:pPr>
        <w:jc w:val="center"/>
        <w:ind w:right="-39"/>
        <w:spacing w:after="0"/>
        <w:rPr>
          <w:sz w:val="20"/>
          <w:szCs w:val="20"/>
          <w:color w:val="auto"/>
        </w:rPr>
      </w:pPr>
      <w:r>
        <w:rPr>
          <w:rFonts w:ascii="Arial" w:cs="Arial" w:eastAsia="Arial" w:hAnsi="Arial"/>
          <w:sz w:val="18"/>
          <w:szCs w:val="18"/>
          <w:b w:val="1"/>
          <w:bCs w:val="1"/>
          <w:i w:val="1"/>
          <w:iCs w:val="1"/>
          <w:color w:val="3074B5"/>
        </w:rPr>
        <w:t>ANNEX A: RECONCILIATION OF NON-GAAP MEASURES</w:t>
      </w:r>
    </w:p>
    <w:p>
      <w:pPr>
        <w:spacing w:after="0" w:line="189" w:lineRule="exact"/>
        <w:rPr>
          <w:sz w:val="20"/>
          <w:szCs w:val="20"/>
          <w:color w:val="auto"/>
        </w:rPr>
      </w:pPr>
    </w:p>
    <w:p>
      <w:pPr>
        <w:ind w:right="480"/>
        <w:spacing w:after="0" w:line="250" w:lineRule="auto"/>
        <w:rPr>
          <w:sz w:val="20"/>
          <w:szCs w:val="20"/>
          <w:color w:val="auto"/>
        </w:rPr>
      </w:pPr>
      <w:r>
        <w:rPr>
          <w:rFonts w:ascii="Arial" w:cs="Arial" w:eastAsia="Arial" w:hAnsi="Arial"/>
          <w:sz w:val="18"/>
          <w:szCs w:val="18"/>
          <w:color w:val="auto"/>
        </w:rPr>
        <w:t>Our 2026 Proxy Statement includes certain non-GAAP financial measures that we believe provide information useful to investors in assessing our financial condition and results of operations. There can be no assurance that our basis for computing these non-GAAP measures is comparable with that of other companies.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3074B5"/>
        </w:rPr>
        <w:t>Reconciliation of GAAP book value per share to Adjusted Book Value 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Refer to page 48 in White Mountains's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4311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3074B5"/>
        </w:rPr>
        <w:t>Reconciliation from growth in ABVPS and BVPS to growth in Intrinsic Value Per Share ("IVPS")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vMerge w:val="restart"/>
          </w:tcPr>
          <w:p>
            <w:pPr>
              <w:spacing w:after="0"/>
              <w:rPr>
                <w:sz w:val="20"/>
                <w:szCs w:val="20"/>
                <w:color w:val="auto"/>
              </w:rPr>
            </w:pPr>
            <w:r>
              <w:rPr>
                <w:rFonts w:ascii="Arial" w:cs="Arial" w:eastAsia="Arial" w:hAnsi="Arial"/>
                <w:sz w:val="17"/>
                <w:szCs w:val="17"/>
                <w:color w:val="auto"/>
              </w:rPr>
              <w:t>Growth:</w:t>
            </w:r>
          </w:p>
        </w:tc>
        <w:tc>
          <w:tcPr>
            <w:tcW w:w="14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w w:val="96"/>
              </w:rPr>
              <w:t>Years ended December 31,</w:t>
            </w: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280" w:type="dxa"/>
            <w:vAlign w:val="bottom"/>
            <w:vMerge w:val="continue"/>
          </w:tcPr>
          <w:p>
            <w:pPr>
              <w:spacing w:after="0"/>
              <w:rPr>
                <w:sz w:val="16"/>
                <w:szCs w:val="16"/>
                <w:color w:val="auto"/>
              </w:rPr>
            </w:pPr>
          </w:p>
        </w:tc>
        <w:tc>
          <w:tcPr>
            <w:tcW w:w="1440" w:type="dxa"/>
            <w:vAlign w:val="bottom"/>
          </w:tcPr>
          <w:p>
            <w:pPr>
              <w:jc w:val="right"/>
              <w:ind w:right="457"/>
              <w:spacing w:after="0" w:line="192" w:lineRule="exact"/>
              <w:rPr>
                <w:sz w:val="20"/>
                <w:szCs w:val="20"/>
                <w:color w:val="auto"/>
              </w:rPr>
            </w:pPr>
            <w:r>
              <w:rPr>
                <w:rFonts w:ascii="Arial" w:cs="Arial" w:eastAsia="Arial" w:hAnsi="Arial"/>
                <w:sz w:val="17"/>
                <w:szCs w:val="17"/>
                <w:color w:val="auto"/>
              </w:rPr>
              <w:t>2025</w:t>
            </w:r>
          </w:p>
        </w:tc>
        <w:tc>
          <w:tcPr>
            <w:tcW w:w="1800" w:type="dxa"/>
            <w:vAlign w:val="bottom"/>
            <w:gridSpan w:val="2"/>
          </w:tcPr>
          <w:p>
            <w:pPr>
              <w:jc w:val="right"/>
              <w:ind w:right="517"/>
              <w:spacing w:after="0" w:line="192" w:lineRule="exact"/>
              <w:rPr>
                <w:sz w:val="20"/>
                <w:szCs w:val="20"/>
                <w:color w:val="auto"/>
              </w:rPr>
            </w:pPr>
            <w:r>
              <w:rPr>
                <w:rFonts w:ascii="Arial" w:cs="Arial" w:eastAsia="Arial" w:hAnsi="Arial"/>
                <w:sz w:val="17"/>
                <w:szCs w:val="17"/>
                <w:color w:val="auto"/>
              </w:rPr>
              <w:t>2024</w:t>
            </w:r>
          </w:p>
        </w:tc>
        <w:tc>
          <w:tcPr>
            <w:tcW w:w="220" w:type="dxa"/>
            <w:vAlign w:val="bottom"/>
          </w:tcPr>
          <w:p>
            <w:pPr>
              <w:spacing w:after="0"/>
              <w:rPr>
                <w:sz w:val="16"/>
                <w:szCs w:val="16"/>
                <w:color w:val="auto"/>
              </w:rPr>
            </w:pPr>
          </w:p>
        </w:tc>
        <w:tc>
          <w:tcPr>
            <w:tcW w:w="1460" w:type="dxa"/>
            <w:vAlign w:val="bottom"/>
          </w:tcPr>
          <w:p>
            <w:pPr>
              <w:jc w:val="right"/>
              <w:ind w:right="457"/>
              <w:spacing w:after="0" w:line="192" w:lineRule="exact"/>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162"/>
        </w:trPr>
        <w:tc>
          <w:tcPr>
            <w:tcW w:w="6280" w:type="dxa"/>
            <w:vAlign w:val="bottom"/>
          </w:tcPr>
          <w:p>
            <w:pPr>
              <w:spacing w:after="0" w:line="163" w:lineRule="exact"/>
              <w:rPr>
                <w:sz w:val="20"/>
                <w:szCs w:val="20"/>
                <w:color w:val="auto"/>
              </w:rPr>
            </w:pPr>
            <w:r>
              <w:rPr>
                <w:rFonts w:ascii="Arial" w:cs="Arial" w:eastAsia="Arial" w:hAnsi="Arial"/>
                <w:sz w:val="17"/>
                <w:szCs w:val="17"/>
                <w:color w:val="3074B5"/>
              </w:rPr>
              <w:t>ABVPS, as reported</w:t>
            </w:r>
          </w:p>
        </w:tc>
        <w:tc>
          <w:tcPr>
            <w:tcW w:w="144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7"/>
                <w:szCs w:val="17"/>
                <w:color w:val="auto"/>
              </w:rPr>
              <w:t>N/A</w:t>
            </w:r>
          </w:p>
        </w:tc>
        <w:tc>
          <w:tcPr>
            <w:tcW w:w="240" w:type="dxa"/>
            <w:vAlign w:val="bottom"/>
          </w:tcPr>
          <w:p>
            <w:pPr>
              <w:spacing w:after="0"/>
              <w:rPr>
                <w:sz w:val="14"/>
                <w:szCs w:val="14"/>
                <w:color w:val="auto"/>
              </w:rPr>
            </w:pPr>
          </w:p>
        </w:tc>
        <w:tc>
          <w:tcPr>
            <w:tcW w:w="156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7"/>
                <w:szCs w:val="17"/>
                <w:color w:val="auto"/>
              </w:rPr>
              <w:t>7.7%</w:t>
            </w:r>
          </w:p>
        </w:tc>
        <w:tc>
          <w:tcPr>
            <w:tcW w:w="220" w:type="dxa"/>
            <w:vAlign w:val="bottom"/>
          </w:tcPr>
          <w:p>
            <w:pPr>
              <w:spacing w:after="0"/>
              <w:rPr>
                <w:sz w:val="14"/>
                <w:szCs w:val="14"/>
                <w:color w:val="auto"/>
              </w:rPr>
            </w:pPr>
          </w:p>
        </w:tc>
        <w:tc>
          <w:tcPr>
            <w:tcW w:w="146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187"/>
        </w:trPr>
        <w:tc>
          <w:tcPr>
            <w:tcW w:w="6280" w:type="dxa"/>
            <w:vAlign w:val="bottom"/>
          </w:tcPr>
          <w:p>
            <w:pPr>
              <w:spacing w:after="0" w:line="187" w:lineRule="exact"/>
              <w:rPr>
                <w:sz w:val="20"/>
                <w:szCs w:val="20"/>
                <w:color w:val="auto"/>
              </w:rPr>
            </w:pPr>
            <w:r>
              <w:rPr>
                <w:rFonts w:ascii="Arial" w:cs="Arial" w:eastAsia="Arial" w:hAnsi="Arial"/>
                <w:sz w:val="17"/>
                <w:szCs w:val="17"/>
                <w:color w:val="3074B5"/>
              </w:rPr>
              <w:t>BVPS, as reported</w:t>
            </w:r>
          </w:p>
        </w:tc>
        <w:tc>
          <w:tcPr>
            <w:tcW w:w="1440" w:type="dxa"/>
            <w:vAlign w:val="bottom"/>
          </w:tcPr>
          <w:p>
            <w:pPr>
              <w:jc w:val="right"/>
              <w:spacing w:after="0" w:line="187" w:lineRule="exact"/>
              <w:rPr>
                <w:sz w:val="20"/>
                <w:szCs w:val="20"/>
                <w:color w:val="auto"/>
              </w:rPr>
            </w:pPr>
            <w:r>
              <w:rPr>
                <w:rFonts w:ascii="Arial" w:cs="Arial" w:eastAsia="Arial" w:hAnsi="Arial"/>
                <w:sz w:val="17"/>
                <w:szCs w:val="17"/>
                <w:color w:val="auto"/>
              </w:rPr>
              <w:t>25.4%</w:t>
            </w:r>
          </w:p>
        </w:tc>
        <w:tc>
          <w:tcPr>
            <w:tcW w:w="240" w:type="dxa"/>
            <w:vAlign w:val="bottom"/>
          </w:tcPr>
          <w:p>
            <w:pPr>
              <w:spacing w:after="0"/>
              <w:rPr>
                <w:sz w:val="16"/>
                <w:szCs w:val="16"/>
                <w:color w:val="auto"/>
              </w:rPr>
            </w:pPr>
          </w:p>
        </w:tc>
        <w:tc>
          <w:tcPr>
            <w:tcW w:w="1780" w:type="dxa"/>
            <w:vAlign w:val="bottom"/>
            <w:gridSpan w:val="2"/>
          </w:tcPr>
          <w:p>
            <w:pPr>
              <w:jc w:val="right"/>
              <w:ind w:right="280"/>
              <w:spacing w:after="0" w:line="187" w:lineRule="exact"/>
              <w:rPr>
                <w:sz w:val="20"/>
                <w:szCs w:val="20"/>
                <w:color w:val="auto"/>
              </w:rPr>
            </w:pPr>
            <w:r>
              <w:rPr>
                <w:rFonts w:ascii="Arial" w:cs="Arial" w:eastAsia="Arial" w:hAnsi="Arial"/>
                <w:sz w:val="17"/>
                <w:szCs w:val="17"/>
                <w:color w:val="auto"/>
              </w:rPr>
              <w:t>N/A</w:t>
            </w:r>
          </w:p>
        </w:tc>
        <w:tc>
          <w:tcPr>
            <w:tcW w:w="1460" w:type="dxa"/>
            <w:vAlign w:val="bottom"/>
          </w:tcPr>
          <w:p>
            <w:pPr>
              <w:jc w:val="right"/>
              <w:spacing w:after="0" w:line="187" w:lineRule="exact"/>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6"/>
        </w:trPr>
        <w:tc>
          <w:tcPr>
            <w:tcW w:w="6280" w:type="dxa"/>
            <w:vAlign w:val="bottom"/>
          </w:tcPr>
          <w:p>
            <w:pPr>
              <w:ind w:left="140"/>
              <w:spacing w:after="0"/>
              <w:rPr>
                <w:sz w:val="20"/>
                <w:szCs w:val="20"/>
                <w:color w:val="auto"/>
              </w:rPr>
            </w:pPr>
            <w:r>
              <w:rPr>
                <w:rFonts w:ascii="Arial" w:cs="Arial" w:eastAsia="Arial" w:hAnsi="Arial"/>
                <w:sz w:val="17"/>
                <w:szCs w:val="17"/>
                <w:color w:val="auto"/>
              </w:rPr>
              <w:t>change in franchise value adjustments</w:t>
            </w:r>
          </w:p>
        </w:tc>
        <w:tc>
          <w:tcPr>
            <w:tcW w:w="1440" w:type="dxa"/>
            <w:vAlign w:val="bottom"/>
          </w:tcPr>
          <w:p>
            <w:pPr>
              <w:jc w:val="right"/>
              <w:spacing w:after="0"/>
              <w:rPr>
                <w:sz w:val="20"/>
                <w:szCs w:val="20"/>
                <w:color w:val="auto"/>
              </w:rPr>
            </w:pPr>
            <w:r>
              <w:rPr>
                <w:rFonts w:ascii="Arial" w:cs="Arial" w:eastAsia="Arial" w:hAnsi="Arial"/>
                <w:sz w:val="17"/>
                <w:szCs w:val="17"/>
                <w:color w:val="auto"/>
              </w:rPr>
              <w:t>-5.2%</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11"/>
        </w:trPr>
        <w:tc>
          <w:tcPr>
            <w:tcW w:w="6280" w:type="dxa"/>
            <w:vAlign w:val="bottom"/>
          </w:tcPr>
          <w:p>
            <w:pPr>
              <w:spacing w:after="0"/>
              <w:rPr>
                <w:sz w:val="20"/>
                <w:szCs w:val="20"/>
                <w:color w:val="auto"/>
              </w:rPr>
            </w:pPr>
            <w:r>
              <w:rPr>
                <w:rFonts w:ascii="Arial" w:cs="Arial" w:eastAsia="Arial" w:hAnsi="Arial"/>
                <w:sz w:val="17"/>
                <w:szCs w:val="17"/>
                <w:color w:val="3074B5"/>
              </w:rPr>
              <w:t>IVPS</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20.2%</w:t>
            </w:r>
          </w:p>
        </w:tc>
        <w:tc>
          <w:tcPr>
            <w:tcW w:w="240" w:type="dxa"/>
            <w:vAlign w:val="bottom"/>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8.9%</w:t>
            </w:r>
          </w:p>
        </w:tc>
        <w:tc>
          <w:tcPr>
            <w:tcW w:w="22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366"/>
        </w:trPr>
        <w:tc>
          <w:tcPr>
            <w:tcW w:w="6280" w:type="dxa"/>
            <w:vAlign w:val="bottom"/>
          </w:tcPr>
          <w:p>
            <w:pPr>
              <w:spacing w:after="0"/>
              <w:rPr>
                <w:sz w:val="20"/>
                <w:szCs w:val="20"/>
                <w:color w:val="auto"/>
              </w:rPr>
            </w:pPr>
            <w:r>
              <w:rPr>
                <w:rFonts w:ascii="Arial" w:cs="Arial" w:eastAsia="Arial" w:hAnsi="Arial"/>
                <w:sz w:val="17"/>
                <w:szCs w:val="17"/>
                <w:color w:val="auto"/>
              </w:rPr>
              <w:t>Compensation Value Per Share</w:t>
            </w:r>
            <w:r>
              <w:rPr>
                <w:rFonts w:ascii="Arial" w:cs="Arial" w:eastAsia="Arial" w:hAnsi="Arial"/>
                <w:sz w:val="27"/>
                <w:szCs w:val="27"/>
                <w:color w:val="auto"/>
                <w:vertAlign w:val="superscript"/>
              </w:rPr>
              <w:t>[1]</w:t>
            </w:r>
          </w:p>
        </w:tc>
        <w:tc>
          <w:tcPr>
            <w:tcW w:w="1440" w:type="dxa"/>
            <w:vAlign w:val="bottom"/>
          </w:tcPr>
          <w:p>
            <w:pPr>
              <w:jc w:val="right"/>
              <w:spacing w:after="0"/>
              <w:rPr>
                <w:sz w:val="20"/>
                <w:szCs w:val="20"/>
                <w:color w:val="auto"/>
              </w:rPr>
            </w:pPr>
            <w:r>
              <w:rPr>
                <w:rFonts w:ascii="Arial" w:cs="Arial" w:eastAsia="Arial" w:hAnsi="Arial"/>
                <w:sz w:val="17"/>
                <w:szCs w:val="17"/>
                <w:color w:val="auto"/>
              </w:rPr>
              <w:t>22.8%</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8.3%</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369"/>
        </w:trPr>
        <w:tc>
          <w:tcPr>
            <w:tcW w:w="6280" w:type="dxa"/>
            <w:vAlign w:val="bottom"/>
          </w:tcPr>
          <w:p>
            <w:pPr>
              <w:spacing w:after="0"/>
              <w:rPr>
                <w:sz w:val="20"/>
                <w:szCs w:val="20"/>
                <w:color w:val="auto"/>
              </w:rPr>
            </w:pPr>
            <w:r>
              <w:rPr>
                <w:rFonts w:ascii="Arial" w:cs="Arial" w:eastAsia="Arial" w:hAnsi="Arial"/>
                <w:sz w:val="17"/>
                <w:szCs w:val="17"/>
                <w:color w:val="auto"/>
              </w:rPr>
              <w:t>Compensation Value Per Share</w:t>
            </w:r>
            <w:r>
              <w:rPr>
                <w:rFonts w:ascii="Arial" w:cs="Arial" w:eastAsia="Arial" w:hAnsi="Arial"/>
                <w:sz w:val="27"/>
                <w:szCs w:val="27"/>
                <w:color w:val="auto"/>
                <w:vertAlign w:val="superscript"/>
              </w:rPr>
              <w:t>[1]</w:t>
            </w:r>
            <w:r>
              <w:rPr>
                <w:rFonts w:ascii="Arial" w:cs="Arial" w:eastAsia="Arial" w:hAnsi="Arial"/>
                <w:sz w:val="17"/>
                <w:szCs w:val="17"/>
                <w:color w:val="auto"/>
              </w:rPr>
              <w:t xml:space="preserve"> - 3-Year Average</w:t>
            </w:r>
          </w:p>
        </w:tc>
        <w:tc>
          <w:tcPr>
            <w:tcW w:w="1440" w:type="dxa"/>
            <w:vAlign w:val="bottom"/>
          </w:tcPr>
          <w:p>
            <w:pPr>
              <w:jc w:val="right"/>
              <w:spacing w:after="0"/>
              <w:rPr>
                <w:sz w:val="20"/>
                <w:szCs w:val="20"/>
                <w:color w:val="auto"/>
              </w:rPr>
            </w:pPr>
            <w:r>
              <w:rPr>
                <w:rFonts w:ascii="Arial" w:cs="Arial" w:eastAsia="Arial" w:hAnsi="Arial"/>
                <w:sz w:val="17"/>
                <w:szCs w:val="17"/>
                <w:color w:val="auto"/>
              </w:rPr>
              <w:t>15.2%</w:t>
            </w: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60" w:hanging="160"/>
        <w:spacing w:after="0"/>
        <w:tabs>
          <w:tab w:leader="none" w:pos="160" w:val="left"/>
        </w:tabs>
        <w:numPr>
          <w:ilvl w:val="0"/>
          <w:numId w:val="39"/>
        </w:numPr>
        <w:rPr>
          <w:rFonts w:ascii="Arial" w:cs="Arial" w:eastAsia="Arial" w:hAnsi="Arial"/>
          <w:sz w:val="21"/>
          <w:szCs w:val="21"/>
          <w:color w:val="auto"/>
          <w:vertAlign w:val="superscript"/>
        </w:rPr>
      </w:pPr>
      <w:r>
        <w:rPr>
          <w:rFonts w:ascii="Arial" w:cs="Arial" w:eastAsia="Arial" w:hAnsi="Arial"/>
          <w:sz w:val="13"/>
          <w:szCs w:val="13"/>
          <w:color w:val="auto"/>
        </w:rPr>
        <w:t>Compensation Value Per Share is calculated using 50% each of IVPS and ABVPS for 2023 and 2024; 50% each of IVPS and BVPS for 2025.</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4311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ectPr>
          <w:pgSz w:w="11900" w:h="16838" w:orient="portrait"/>
          <w:cols w:equalWidth="0" w:num="1">
            <w:col w:w="11200"/>
          </w:cols>
          <w:pgMar w:left="320" w:top="892" w:right="379" w:bottom="1440"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2522855</wp:posOffset>
            </wp:positionV>
            <wp:extent cx="714311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page">
              <wp:posOffset>3063240</wp:posOffset>
            </wp:positionH>
            <wp:positionV relativeFrom="page">
              <wp:posOffset>579120</wp:posOffset>
            </wp:positionV>
            <wp:extent cx="1422400" cy="15170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1422400" cy="1517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405130</wp:posOffset>
            </wp:positionV>
            <wp:extent cx="7143115" cy="90316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3115" cy="9031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3115" cy="90316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3115" cy="9031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96520</wp:posOffset>
            </wp:positionV>
            <wp:extent cx="7143115" cy="9023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3115" cy="9023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3115" cy="90316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3115" cy="90316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1"/>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amp;"/>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lowerLetter"/>
      <w:start w:val="1"/>
    </w:lvl>
  </w:abstractNum>
  <w:abstractNum w:abstractNumId="16">
    <w:nsid w:val="2CA88611"/>
    <w:multiLevelType w:val="hybridMultilevel"/>
    <w:lvl w:ilvl="0">
      <w:lvlJc w:val="left"/>
      <w:lvlText w:val="(%1)"/>
      <w:numFmt w:val="lowerLetter"/>
      <w:start w:val="1"/>
    </w:lvl>
  </w:abstractNum>
  <w:abstractNum w:abstractNumId="17">
    <w:nsid w:val="836C40E"/>
    <w:multiLevelType w:val="hybridMultilevel"/>
    <w:lvl w:ilvl="0">
      <w:lvlJc w:val="left"/>
      <w:lvlText w:val="Ø"/>
      <w:numFmt w:val="bullet"/>
      <w:start w:val="1"/>
    </w:lvl>
  </w:abstractNum>
  <w:abstractNum w:abstractNumId="18">
    <w:nsid w:val="2901D82"/>
    <w:multiLevelType w:val="hybridMultilevel"/>
    <w:lvl w:ilvl="0">
      <w:lvlJc w:val="left"/>
      <w:lvlText w:val="1"/>
      <w:numFmt w:val="bullet"/>
      <w:start w:val="1"/>
    </w:lvl>
  </w:abstractNum>
  <w:abstractNum w:abstractNumId="19">
    <w:nsid w:val="3A95F874"/>
    <w:multiLevelType w:val="hybridMultilevel"/>
    <w:lvl w:ilvl="0">
      <w:lvlJc w:val="left"/>
      <w:lvlText w:val="1"/>
      <w:numFmt w:val="bullet"/>
      <w:start w:val="1"/>
    </w:lvl>
  </w:abstractNum>
  <w:abstractNum w:abstractNumId="20">
    <w:nsid w:val="8138641"/>
    <w:multiLevelType w:val="hybridMultilevel"/>
    <w:lvl w:ilvl="0">
      <w:lvlJc w:val="left"/>
      <w:lvlText w:val="1"/>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bullet"/>
      <w:start w:val="1"/>
    </w:lvl>
  </w:abstractNum>
  <w:abstractNum w:abstractNumId="23">
    <w:nsid w:val="737B8DDC"/>
    <w:multiLevelType w:val="hybridMultilevel"/>
    <w:lvl w:ilvl="0">
      <w:lvlJc w:val="left"/>
      <w:lvlText w:val="%1."/>
      <w:numFmt w:val="decimal"/>
      <w:start w:val="2"/>
    </w:lvl>
    <w:lvl w:ilvl="1">
      <w:lvlJc w:val="left"/>
      <w:lvlText w:val="1"/>
      <w:numFmt w:val="bullet"/>
      <w:start w:val="1"/>
    </w:lvl>
  </w:abstractNum>
  <w:abstractNum w:abstractNumId="24">
    <w:nsid w:val="6CEAF087"/>
    <w:multiLevelType w:val="hybridMultilevel"/>
    <w:lvl w:ilvl="0">
      <w:lvlJc w:val="left"/>
      <w:lvlText w:val="(%1)"/>
      <w:numFmt w:val="lowerLetter"/>
      <w:start w:val="2"/>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1)"/>
      <w:numFmt w:val="lowerLetter"/>
      <w:start w:val="1"/>
    </w:lvl>
  </w:abstractNum>
  <w:abstractNum w:abstractNumId="28">
    <w:nsid w:val="614FD4A1"/>
    <w:multiLevelType w:val="hybridMultilevel"/>
    <w:lvl w:ilvl="0">
      <w:lvlJc w:val="left"/>
      <w:lvlText w:val="(%1)"/>
      <w:numFmt w:val="lowerLetter"/>
      <w:start w:val="1"/>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lowerLetter"/>
      <w:start w:val="3"/>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2026-04-01T15:06:39Z</dcterms:created>
  <dcterms:modified xsi:type="dcterms:W3CDTF">2026-04-01T15:06:39Z</dcterms:modified>
</cp:coreProperties>
</file>