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4263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4263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BARRETTE RAYMOND JOSEPH RENE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40"/>
        <w:spacing w:after="0" w:line="361" w:lineRule="auto"/>
        <w:rPr>
          <w:sz w:val="20"/>
          <w:szCs w:val="20"/>
          <w:color w:val="auto"/>
        </w:rPr>
      </w:pPr>
      <w:r>
        <w:rPr>
          <w:rFonts w:ascii="Arial" w:cs="Arial" w:eastAsia="Arial" w:hAnsi="Arial"/>
          <w:sz w:val="17"/>
          <w:szCs w:val="17"/>
          <w:color w:val="0000FF"/>
        </w:rPr>
        <w:t>C/O WHITE MOUNTAINS INSURANCE GROUP 80 SOUTH MAIN STREET</w:t>
      </w:r>
    </w:p>
    <w:p>
      <w:pPr>
        <w:spacing w:after="0" w:line="184"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0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6"/>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3980" w:type="dxa"/>
            <w:vAlign w:val="bottom"/>
            <w:gridSpan w:val="4"/>
          </w:tcPr>
          <w:p>
            <w:pPr>
              <w:ind w:left="8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7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74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20" w:type="dxa"/>
            <w:vAlign w:val="bottom"/>
            <w:tcBorders>
              <w:bottom w:val="single" w:sz="8" w:color="0000EE"/>
            </w:tcBorders>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00" w:type="dxa"/>
            <w:vAlign w:val="bottom"/>
          </w:tcPr>
          <w:p>
            <w:pPr>
              <w:spacing w:after="0"/>
              <w:rPr>
                <w:sz w:val="3"/>
                <w:szCs w:val="3"/>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4"/>
        </w:trPr>
        <w:tc>
          <w:tcPr>
            <w:tcW w:w="3980" w:type="dxa"/>
            <w:vAlign w:val="bottom"/>
            <w:gridSpan w:val="4"/>
            <w:vMerge w:val="restart"/>
          </w:tcPr>
          <w:p>
            <w:pPr>
              <w:ind w:left="80"/>
              <w:spacing w:after="0" w:line="22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2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980" w:type="dxa"/>
            <w:vAlign w:val="bottom"/>
            <w:gridSpan w:val="4"/>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400" w:type="dxa"/>
            <w:vAlign w:val="bottom"/>
          </w:tcPr>
          <w:p>
            <w:pPr>
              <w:spacing w:after="0"/>
              <w:rPr>
                <w:sz w:val="5"/>
                <w:szCs w:val="5"/>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2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vMerge w:val="continue"/>
          </w:tcPr>
          <w:p>
            <w:pPr>
              <w:spacing w:after="0"/>
              <w:rPr>
                <w:sz w:val="12"/>
                <w:szCs w:val="12"/>
                <w:color w:val="auto"/>
              </w:rPr>
            </w:pPr>
          </w:p>
        </w:tc>
        <w:tc>
          <w:tcPr>
            <w:tcW w:w="40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9"/>
                <w:szCs w:val="9"/>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7"/>
        </w:trPr>
        <w:tc>
          <w:tcPr>
            <w:tcW w:w="8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12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3980" w:type="dxa"/>
            <w:vAlign w:val="bottom"/>
            <w:tcBorders>
              <w:top w:val="single" w:sz="8" w:color="2C2C2C"/>
            </w:tcBorders>
            <w:gridSpan w:val="4"/>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3420" w:type="dxa"/>
            <w:vAlign w:val="bottom"/>
            <w:gridSpan w:val="4"/>
          </w:tcPr>
          <w:p>
            <w:pPr>
              <w:jc w:val="center"/>
              <w:spacing w:after="0" w:line="187" w:lineRule="exact"/>
              <w:rPr>
                <w:sz w:val="20"/>
                <w:szCs w:val="20"/>
                <w:color w:val="auto"/>
              </w:rPr>
            </w:pPr>
            <w:r>
              <w:rPr>
                <w:rFonts w:ascii="Arial" w:cs="Arial" w:eastAsia="Arial" w:hAnsi="Arial"/>
                <w:sz w:val="17"/>
                <w:szCs w:val="17"/>
                <w:color w:val="0000FF"/>
                <w:w w:val="95"/>
              </w:rPr>
              <w:t xml:space="preserve">Chief Executive Officer </w:t>
            </w:r>
            <w:r>
              <w:rPr>
                <w:rFonts w:ascii="Arial" w:cs="Arial" w:eastAsia="Arial" w:hAnsi="Arial"/>
                <w:sz w:val="21"/>
                <w:szCs w:val="21"/>
                <w:color w:val="000000"/>
                <w:w w:val="95"/>
              </w:rPr>
              <w:t>/</w:t>
            </w:r>
            <w:r>
              <w:rPr>
                <w:rFonts w:ascii="Arial" w:cs="Arial" w:eastAsia="Arial" w:hAnsi="Arial"/>
                <w:sz w:val="17"/>
                <w:szCs w:val="17"/>
                <w:color w:val="0000FF"/>
                <w:w w:val="95"/>
              </w:rPr>
              <w:t xml:space="preserve"> Chairman of the</w:t>
            </w:r>
          </w:p>
        </w:tc>
        <w:tc>
          <w:tcPr>
            <w:tcW w:w="0" w:type="dxa"/>
            <w:vAlign w:val="bottom"/>
          </w:tcPr>
          <w:p>
            <w:pPr>
              <w:spacing w:after="0"/>
              <w:rPr>
                <w:sz w:val="1"/>
                <w:szCs w:val="1"/>
                <w:color w:val="auto"/>
              </w:rPr>
            </w:pPr>
          </w:p>
        </w:tc>
      </w:tr>
      <w:tr>
        <w:trPr>
          <w:trHeight w:val="262"/>
        </w:trPr>
        <w:tc>
          <w:tcPr>
            <w:tcW w:w="1240" w:type="dxa"/>
            <w:vAlign w:val="bottom"/>
            <w:gridSpan w:val="2"/>
          </w:tcPr>
          <w:p>
            <w:pPr>
              <w:ind w:left="80"/>
              <w:spacing w:after="0"/>
              <w:rPr>
                <w:sz w:val="20"/>
                <w:szCs w:val="20"/>
                <w:color w:val="auto"/>
              </w:rPr>
            </w:pPr>
            <w:r>
              <w:rPr>
                <w:rFonts w:ascii="Arial" w:cs="Arial" w:eastAsia="Arial" w:hAnsi="Arial"/>
                <w:sz w:val="17"/>
                <w:szCs w:val="17"/>
                <w:color w:val="0000FF"/>
              </w:rPr>
              <w:t>03/30/2009</w:t>
            </w:r>
          </w:p>
        </w:tc>
        <w:tc>
          <w:tcPr>
            <w:tcW w:w="2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20" w:type="dxa"/>
            <w:vAlign w:val="bottom"/>
            <w:gridSpan w:val="2"/>
          </w:tcPr>
          <w:p>
            <w:pPr>
              <w:jc w:val="center"/>
              <w:ind w:left="708"/>
              <w:spacing w:after="0"/>
              <w:rPr>
                <w:sz w:val="20"/>
                <w:szCs w:val="20"/>
                <w:color w:val="auto"/>
              </w:rPr>
            </w:pPr>
            <w:r>
              <w:rPr>
                <w:rFonts w:ascii="Arial" w:cs="Arial" w:eastAsia="Arial" w:hAnsi="Arial"/>
                <w:sz w:val="17"/>
                <w:szCs w:val="17"/>
                <w:color w:val="0000FF"/>
                <w:w w:val="96"/>
              </w:rPr>
              <w:t>Board</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160" w:type="dxa"/>
            <w:vAlign w:val="bottom"/>
            <w:tcBorders>
              <w:bottom w:val="single" w:sz="8" w:color="2C2C2C"/>
            </w:tcBorders>
          </w:tcPr>
          <w:p>
            <w:pPr>
              <w:spacing w:after="0"/>
              <w:rPr>
                <w:sz w:val="17"/>
                <w:szCs w:val="17"/>
                <w:color w:val="auto"/>
              </w:rPr>
            </w:pPr>
          </w:p>
        </w:tc>
        <w:tc>
          <w:tcPr>
            <w:tcW w:w="2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3420" w:type="dxa"/>
            <w:vAlign w:val="bottom"/>
            <w:tcBorders>
              <w:bottom w:val="single" w:sz="8" w:color="2C2C2C"/>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980" w:type="dxa"/>
            <w:vAlign w:val="bottom"/>
            <w:gridSpan w:val="4"/>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261" w:lineRule="exact"/>
        <w:rPr>
          <w:sz w:val="20"/>
          <w:szCs w:val="20"/>
          <w:color w:val="auto"/>
        </w:rPr>
      </w:pPr>
    </w:p>
    <w:p>
      <w:pPr>
        <w:sectPr>
          <w:pgSz w:w="11900" w:h="16838" w:orient="portrait"/>
          <w:cols w:equalWidth="0" w:num="2">
            <w:col w:w="3920" w:space="80"/>
            <w:col w:w="752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2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2860" w:type="dxa"/>
            <w:vAlign w:val="bottom"/>
            <w:gridSpan w:val="6"/>
          </w:tcPr>
          <w:p>
            <w:pPr>
              <w:ind w:left="60"/>
              <w:spacing w:after="0" w:line="132" w:lineRule="exact"/>
              <w:rPr>
                <w:sz w:val="20"/>
                <w:szCs w:val="20"/>
                <w:color w:val="auto"/>
              </w:rPr>
            </w:pPr>
            <w:r>
              <w:rPr>
                <w:rFonts w:ascii="Arial" w:cs="Arial" w:eastAsia="Arial" w:hAnsi="Arial"/>
                <w:sz w:val="12"/>
                <w:szCs w:val="12"/>
                <w:b w:val="1"/>
                <w:bCs w:val="1"/>
                <w:color w:val="auto"/>
              </w:rPr>
              <w:t>Transaction  Disposed Of (D) (Instr. 3, 4 and 5)</w:t>
            </w: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2"/>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13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tcPr>
          <w:p>
            <w:pPr>
              <w:ind w:left="240"/>
              <w:spacing w:after="0" w:line="134" w:lineRule="exact"/>
              <w:rPr>
                <w:sz w:val="20"/>
                <w:szCs w:val="20"/>
                <w:color w:val="auto"/>
              </w:rPr>
            </w:pPr>
            <w:r>
              <w:rPr>
                <w:rFonts w:ascii="Arial" w:cs="Arial" w:eastAsia="Arial" w:hAnsi="Arial"/>
                <w:sz w:val="12"/>
                <w:szCs w:val="12"/>
                <w:b w:val="1"/>
                <w:bCs w:val="1"/>
                <w:color w:val="auto"/>
                <w:w w:val="99"/>
              </w:rPr>
              <w:t>(A) or</w:t>
            </w: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920" w:type="dxa"/>
            <w:vAlign w:val="bottom"/>
            <w:gridSpan w:val="2"/>
            <w:vMerge w:val="restart"/>
          </w:tcPr>
          <w:p>
            <w:pPr>
              <w:ind w:left="900"/>
              <w:spacing w:after="0"/>
              <w:rPr>
                <w:sz w:val="20"/>
                <w:szCs w:val="20"/>
                <w:color w:val="auto"/>
              </w:rPr>
            </w:pPr>
            <w:r>
              <w:rPr>
                <w:rFonts w:ascii="Arial" w:cs="Arial" w:eastAsia="Arial" w:hAnsi="Arial"/>
                <w:sz w:val="17"/>
                <w:szCs w:val="17"/>
                <w:color w:val="0000FF"/>
              </w:rPr>
              <w:t>03/30/2009</w:t>
            </w: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vMerge w:val="restart"/>
          </w:tcPr>
          <w:p>
            <w:pPr>
              <w:ind w:left="200"/>
              <w:spacing w:after="0"/>
              <w:rPr>
                <w:sz w:val="20"/>
                <w:szCs w:val="20"/>
                <w:color w:val="auto"/>
              </w:rPr>
            </w:pPr>
            <w:r>
              <w:rPr>
                <w:rFonts w:ascii="Arial" w:cs="Arial" w:eastAsia="Arial" w:hAnsi="Arial"/>
                <w:sz w:val="13"/>
                <w:szCs w:val="13"/>
                <w:color w:val="0000FF"/>
              </w:rPr>
              <w:t>P</w:t>
            </w:r>
          </w:p>
        </w:tc>
        <w:tc>
          <w:tcPr>
            <w:tcW w:w="820" w:type="dxa"/>
            <w:vAlign w:val="bottom"/>
            <w:gridSpan w:val="2"/>
            <w:vMerge w:val="restart"/>
          </w:tcPr>
          <w:p>
            <w:pPr>
              <w:ind w:left="380"/>
              <w:spacing w:after="0"/>
              <w:rPr>
                <w:sz w:val="20"/>
                <w:szCs w:val="20"/>
                <w:color w:val="auto"/>
              </w:rPr>
            </w:pPr>
            <w:r>
              <w:rPr>
                <w:rFonts w:ascii="Arial" w:cs="Arial" w:eastAsia="Arial" w:hAnsi="Arial"/>
                <w:sz w:val="17"/>
                <w:szCs w:val="17"/>
                <w:color w:val="0000FF"/>
                <w:w w:val="90"/>
              </w:rPr>
              <w:t>190</w:t>
            </w:r>
            <w:r>
              <w:rPr>
                <w:rFonts w:ascii="Arial" w:cs="Arial" w:eastAsia="Arial" w:hAnsi="Arial"/>
                <w:sz w:val="22"/>
                <w:szCs w:val="22"/>
                <w:color w:val="008000"/>
                <w:w w:val="90"/>
                <w:vertAlign w:val="superscript"/>
              </w:rPr>
              <w:t>(1)</w:t>
            </w:r>
          </w:p>
        </w:tc>
        <w:tc>
          <w:tcPr>
            <w:tcW w:w="580" w:type="dxa"/>
            <w:vAlign w:val="bottom"/>
            <w:vMerge w:val="restart"/>
          </w:tcPr>
          <w:p>
            <w:pPr>
              <w:ind w:left="360"/>
              <w:spacing w:after="0"/>
              <w:rPr>
                <w:sz w:val="20"/>
                <w:szCs w:val="20"/>
                <w:color w:val="auto"/>
              </w:rPr>
            </w:pPr>
            <w:r>
              <w:rPr>
                <w:rFonts w:ascii="Arial" w:cs="Arial" w:eastAsia="Arial" w:hAnsi="Arial"/>
                <w:sz w:val="17"/>
                <w:szCs w:val="17"/>
                <w:color w:val="0000FF"/>
              </w:rPr>
              <w:t>A</w:t>
            </w:r>
          </w:p>
        </w:tc>
        <w:tc>
          <w:tcPr>
            <w:tcW w:w="820" w:type="dxa"/>
            <w:vAlign w:val="bottom"/>
            <w:gridSpan w:val="2"/>
            <w:vMerge w:val="restart"/>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167.38</w:t>
            </w: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775</w:t>
            </w:r>
          </w:p>
        </w:tc>
        <w:tc>
          <w:tcPr>
            <w:tcW w:w="280" w:type="dxa"/>
            <w:vAlign w:val="bottom"/>
          </w:tcPr>
          <w:p>
            <w:pPr>
              <w:spacing w:after="0"/>
              <w:rPr>
                <w:sz w:val="22"/>
                <w:szCs w:val="22"/>
                <w:color w:val="auto"/>
              </w:rPr>
            </w:pPr>
          </w:p>
        </w:tc>
        <w:tc>
          <w:tcPr>
            <w:tcW w:w="700" w:type="dxa"/>
            <w:vAlign w:val="bottom"/>
            <w:vMerge w:val="restart"/>
          </w:tcPr>
          <w:p>
            <w:pPr>
              <w:jc w:val="center"/>
              <w:ind w:right="325"/>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daughter</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27,195</w:t>
            </w:r>
          </w:p>
        </w:tc>
        <w:tc>
          <w:tcPr>
            <w:tcW w:w="280" w:type="dxa"/>
            <w:vAlign w:val="bottom"/>
          </w:tcPr>
          <w:p>
            <w:pPr>
              <w:spacing w:after="0"/>
              <w:rPr>
                <w:sz w:val="23"/>
                <w:szCs w:val="23"/>
                <w:color w:val="auto"/>
              </w:rPr>
            </w:pPr>
          </w:p>
        </w:tc>
        <w:tc>
          <w:tcPr>
            <w:tcW w:w="700" w:type="dxa"/>
            <w:vAlign w:val="bottom"/>
          </w:tcPr>
          <w:p>
            <w:pPr>
              <w:jc w:val="center"/>
              <w:ind w:right="305"/>
              <w:spacing w:after="0"/>
              <w:rPr>
                <w:sz w:val="20"/>
                <w:szCs w:val="20"/>
                <w:color w:val="auto"/>
              </w:rPr>
            </w:pPr>
            <w:r>
              <w:rPr>
                <w:rFonts w:ascii="Arial" w:cs="Arial" w:eastAsia="Arial" w:hAnsi="Arial"/>
                <w:sz w:val="17"/>
                <w:szCs w:val="17"/>
                <w:color w:val="0000FF"/>
                <w:w w:val="97"/>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Common Shares (restricted)</w:t>
            </w:r>
          </w:p>
        </w:tc>
        <w:tc>
          <w:tcPr>
            <w:tcW w:w="1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36,000</w:t>
            </w:r>
          </w:p>
        </w:tc>
        <w:tc>
          <w:tcPr>
            <w:tcW w:w="280" w:type="dxa"/>
            <w:vAlign w:val="bottom"/>
          </w:tcPr>
          <w:p>
            <w:pPr>
              <w:spacing w:after="0"/>
              <w:rPr>
                <w:sz w:val="23"/>
                <w:szCs w:val="23"/>
                <w:color w:val="auto"/>
              </w:rPr>
            </w:pPr>
          </w:p>
        </w:tc>
        <w:tc>
          <w:tcPr>
            <w:tcW w:w="700" w:type="dxa"/>
            <w:vAlign w:val="bottom"/>
          </w:tcPr>
          <w:p>
            <w:pPr>
              <w:jc w:val="center"/>
              <w:ind w:right="305"/>
              <w:spacing w:after="0"/>
              <w:rPr>
                <w:sz w:val="20"/>
                <w:szCs w:val="20"/>
                <w:color w:val="auto"/>
              </w:rPr>
            </w:pPr>
            <w:r>
              <w:rPr>
                <w:rFonts w:ascii="Arial" w:cs="Arial" w:eastAsia="Arial" w:hAnsi="Arial"/>
                <w:sz w:val="17"/>
                <w:szCs w:val="17"/>
                <w:color w:val="0000FF"/>
                <w:w w:val="97"/>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24,768</w:t>
            </w:r>
          </w:p>
        </w:tc>
        <w:tc>
          <w:tcPr>
            <w:tcW w:w="280" w:type="dxa"/>
            <w:vAlign w:val="bottom"/>
          </w:tcPr>
          <w:p>
            <w:pPr>
              <w:spacing w:after="0"/>
              <w:rPr>
                <w:sz w:val="18"/>
                <w:szCs w:val="18"/>
                <w:color w:val="auto"/>
              </w:rPr>
            </w:pPr>
          </w:p>
        </w:tc>
        <w:tc>
          <w:tcPr>
            <w:tcW w:w="700" w:type="dxa"/>
            <w:vAlign w:val="bottom"/>
          </w:tcPr>
          <w:p>
            <w:pPr>
              <w:jc w:val="center"/>
              <w:ind w:right="325"/>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Retained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Annuity</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11,615</w:t>
            </w:r>
          </w:p>
        </w:tc>
        <w:tc>
          <w:tcPr>
            <w:tcW w:w="280" w:type="dxa"/>
            <w:vAlign w:val="bottom"/>
          </w:tcPr>
          <w:p>
            <w:pPr>
              <w:spacing w:after="0"/>
              <w:rPr>
                <w:sz w:val="23"/>
                <w:szCs w:val="23"/>
                <w:color w:val="auto"/>
              </w:rPr>
            </w:pPr>
          </w:p>
        </w:tc>
        <w:tc>
          <w:tcPr>
            <w:tcW w:w="700" w:type="dxa"/>
            <w:vAlign w:val="bottom"/>
          </w:tcPr>
          <w:p>
            <w:pPr>
              <w:jc w:val="center"/>
              <w:ind w:right="325"/>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wife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300</w:t>
            </w:r>
          </w:p>
        </w:tc>
        <w:tc>
          <w:tcPr>
            <w:tcW w:w="280" w:type="dxa"/>
            <w:vAlign w:val="bottom"/>
          </w:tcPr>
          <w:p>
            <w:pPr>
              <w:spacing w:after="0"/>
              <w:rPr>
                <w:sz w:val="23"/>
                <w:szCs w:val="23"/>
                <w:color w:val="auto"/>
              </w:rPr>
            </w:pPr>
          </w:p>
        </w:tc>
        <w:tc>
          <w:tcPr>
            <w:tcW w:w="700" w:type="dxa"/>
            <w:vAlign w:val="bottom"/>
          </w:tcPr>
          <w:p>
            <w:pPr>
              <w:jc w:val="center"/>
              <w:ind w:right="325"/>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son</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89"/>
              </w:rPr>
              <w:t>4,230</w:t>
            </w:r>
          </w:p>
        </w:tc>
        <w:tc>
          <w:tcPr>
            <w:tcW w:w="280" w:type="dxa"/>
            <w:vAlign w:val="bottom"/>
          </w:tcPr>
          <w:p>
            <w:pPr>
              <w:spacing w:after="0"/>
              <w:rPr>
                <w:sz w:val="23"/>
                <w:szCs w:val="23"/>
                <w:color w:val="auto"/>
              </w:rPr>
            </w:pPr>
          </w:p>
        </w:tc>
        <w:tc>
          <w:tcPr>
            <w:tcW w:w="700" w:type="dxa"/>
            <w:vAlign w:val="bottom"/>
          </w:tcPr>
          <w:p>
            <w:pPr>
              <w:jc w:val="center"/>
              <w:ind w:right="325"/>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IRA</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2"/>
              </w:rPr>
              <w:t>128</w:t>
            </w:r>
            <w:r>
              <w:rPr>
                <w:rFonts w:ascii="Arial" w:cs="Arial" w:eastAsia="Arial" w:hAnsi="Arial"/>
                <w:sz w:val="22"/>
                <w:szCs w:val="22"/>
                <w:color w:val="008000"/>
                <w:w w:val="82"/>
                <w:vertAlign w:val="superscript"/>
              </w:rPr>
              <w:t>(2)</w:t>
            </w:r>
          </w:p>
        </w:tc>
        <w:tc>
          <w:tcPr>
            <w:tcW w:w="280" w:type="dxa"/>
            <w:vAlign w:val="bottom"/>
          </w:tcPr>
          <w:p>
            <w:pPr>
              <w:spacing w:after="0"/>
              <w:rPr>
                <w:sz w:val="22"/>
                <w:szCs w:val="22"/>
                <w:color w:val="auto"/>
              </w:rPr>
            </w:pPr>
          </w:p>
        </w:tc>
        <w:tc>
          <w:tcPr>
            <w:tcW w:w="700" w:type="dxa"/>
            <w:vAlign w:val="bottom"/>
            <w:vMerge w:val="restart"/>
          </w:tcPr>
          <w:p>
            <w:pPr>
              <w:jc w:val="center"/>
              <w:ind w:right="325"/>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6460" w:type="dxa"/>
            <w:vAlign w:val="bottom"/>
            <w:tcBorders>
              <w:bottom w:val="single" w:sz="8" w:color="2C2C2C"/>
            </w:tcBorders>
            <w:gridSpan w:val="11"/>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jc w:val="center"/>
              <w:ind w:right="85"/>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9"/>
          </w:tcPr>
          <w:p>
            <w:pPr>
              <w:jc w:val="center"/>
              <w:ind w:left="55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05"/>
              <w:spacing w:after="0"/>
              <w:rPr>
                <w:sz w:val="20"/>
                <w:szCs w:val="20"/>
                <w:color w:val="auto"/>
              </w:rPr>
            </w:pPr>
            <w:r>
              <w:rPr>
                <w:rFonts w:ascii="Arial" w:cs="Arial" w:eastAsia="Arial" w:hAnsi="Arial"/>
                <w:sz w:val="12"/>
                <w:szCs w:val="12"/>
                <w:b w:val="1"/>
                <w:bCs w:val="1"/>
                <w:color w:val="auto"/>
                <w:w w:val="95"/>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15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   of</w:t>
            </w:r>
          </w:p>
        </w:tc>
        <w:tc>
          <w:tcPr>
            <w:tcW w:w="15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6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of 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Common</w:t>
            </w:r>
          </w:p>
        </w:tc>
        <w:tc>
          <w:tcPr>
            <w:tcW w:w="80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650</w:t>
            </w:r>
            <w:r>
              <w:rPr>
                <w:rFonts w:ascii="Arial" w:cs="Arial" w:eastAsia="Arial" w:hAnsi="Arial"/>
                <w:sz w:val="22"/>
                <w:szCs w:val="22"/>
                <w:color w:val="008000"/>
                <w:vertAlign w:val="superscript"/>
              </w:rPr>
              <w:t>(3)</w:t>
            </w: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restart"/>
          </w:tcPr>
          <w:p>
            <w:pPr>
              <w:jc w:val="center"/>
              <w:ind w:right="219"/>
              <w:spacing w:after="0"/>
              <w:rPr>
                <w:sz w:val="20"/>
                <w:szCs w:val="20"/>
                <w:color w:val="auto"/>
              </w:rPr>
            </w:pPr>
            <w:r>
              <w:rPr>
                <w:rFonts w:ascii="Arial" w:cs="Arial" w:eastAsia="Arial" w:hAnsi="Arial"/>
                <w:sz w:val="11"/>
                <w:szCs w:val="11"/>
                <w:color w:val="008000"/>
                <w:w w:val="88"/>
              </w:rPr>
              <w:t>(4)</w:t>
            </w:r>
          </w:p>
        </w:tc>
        <w:tc>
          <w:tcPr>
            <w:tcW w:w="72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660" w:type="dxa"/>
            <w:vAlign w:val="bottom"/>
            <w:vMerge w:val="restart"/>
          </w:tcPr>
          <w:p>
            <w:pPr>
              <w:ind w:left="20"/>
              <w:spacing w:after="0"/>
              <w:rPr>
                <w:sz w:val="20"/>
                <w:szCs w:val="20"/>
                <w:color w:val="auto"/>
              </w:rPr>
            </w:pPr>
            <w:r>
              <w:rPr>
                <w:rFonts w:ascii="Arial" w:cs="Arial" w:eastAsia="Arial" w:hAnsi="Arial"/>
                <w:sz w:val="17"/>
                <w:szCs w:val="17"/>
                <w:color w:val="0000FF"/>
              </w:rPr>
              <w:t>200,000</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Share</w:t>
            </w:r>
          </w:p>
        </w:tc>
        <w:tc>
          <w:tcPr>
            <w:tcW w:w="80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720" w:type="dxa"/>
            <w:vAlign w:val="bottom"/>
          </w:tcPr>
          <w:p>
            <w:pPr>
              <w:ind w:left="20"/>
              <w:spacing w:after="0" w:line="132" w:lineRule="exact"/>
              <w:rPr>
                <w:sz w:val="20"/>
                <w:szCs w:val="20"/>
                <w:color w:val="auto"/>
              </w:rPr>
            </w:pPr>
            <w:r>
              <w:rPr>
                <w:rFonts w:ascii="Arial" w:cs="Arial" w:eastAsia="Arial" w:hAnsi="Arial"/>
                <w:sz w:val="13"/>
                <w:szCs w:val="13"/>
                <w:color w:val="0000FF"/>
              </w:rPr>
              <w:t>01/19/2014</w:t>
            </w:r>
          </w:p>
        </w:tc>
        <w:tc>
          <w:tcPr>
            <w:tcW w:w="68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0"/>
              <w:spacing w:after="0" w:line="132" w:lineRule="exact"/>
              <w:rPr>
                <w:sz w:val="20"/>
                <w:szCs w:val="20"/>
                <w:color w:val="auto"/>
              </w:rPr>
            </w:pPr>
            <w:r>
              <w:rPr>
                <w:rFonts w:ascii="Arial" w:cs="Arial" w:eastAsia="Arial" w:hAnsi="Arial"/>
                <w:sz w:val="13"/>
                <w:szCs w:val="13"/>
                <w:color w:val="0000FF"/>
              </w:rPr>
              <w:t>200,000</w:t>
            </w: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Options</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20"/>
              <w:spacing w:after="0" w:line="148" w:lineRule="exact"/>
              <w:rPr>
                <w:sz w:val="20"/>
                <w:szCs w:val="20"/>
                <w:color w:val="auto"/>
              </w:rPr>
            </w:pPr>
            <w:r>
              <w:rPr>
                <w:rFonts w:ascii="Arial" w:cs="Arial" w:eastAsia="Arial" w:hAnsi="Arial"/>
                <w:sz w:val="13"/>
                <w:szCs w:val="13"/>
                <w:color w:val="0000FF"/>
              </w:rPr>
              <w:t>Shares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Shares acquired in open market transaction.</w:t>
      </w:r>
    </w:p>
    <w:p>
      <w:pPr>
        <w:spacing w:after="0" w:line="51" w:lineRule="exact"/>
        <w:rPr>
          <w:rFonts w:ascii="Arial" w:cs="Arial" w:eastAsia="Arial" w:hAnsi="Arial"/>
          <w:sz w:val="13"/>
          <w:szCs w:val="13"/>
          <w:color w:val="008000"/>
        </w:rPr>
      </w:pPr>
    </w:p>
    <w:p>
      <w:pPr>
        <w:ind w:left="40" w:right="16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Since the date of Reporting Person's last filing, Reporting Person acquired 16 shares of WTM Common Shares in his 401(k) Plan account. WTM Common Shares are purchased at fair market value on the date of purchase. The information in this report is based on a plan statement dated as of March 27, 2009.</w:t>
      </w:r>
    </w:p>
    <w:p>
      <w:pPr>
        <w:spacing w:after="0" w:line="9" w:lineRule="exact"/>
        <w:rPr>
          <w:rFonts w:ascii="Arial" w:cs="Arial" w:eastAsia="Arial" w:hAnsi="Arial"/>
          <w:sz w:val="13"/>
          <w:szCs w:val="13"/>
          <w:color w:val="008000"/>
        </w:rPr>
      </w:pPr>
    </w:p>
    <w:p>
      <w:pPr>
        <w:ind w:left="40" w:right="30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January 20, 2007, the Reporting Person was granted options to purchase 200,000 Common Shares with an initial exercise price of $650 per share. The exercise price increases on a cumulative basis at an annual rate of 5% less the annualized regular dividend rate.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options vest in five equal annual installments beginning January 19, 2008.</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Jason R. Lichtenstein, by</w:t>
            </w:r>
          </w:p>
        </w:tc>
        <w:tc>
          <w:tcPr>
            <w:tcW w:w="5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03/31/2009</w:t>
            </w:r>
          </w:p>
        </w:tc>
        <w:tc>
          <w:tcPr>
            <w:tcW w:w="0" w:type="dxa"/>
            <w:vAlign w:val="bottom"/>
          </w:tcPr>
          <w:p>
            <w:pPr>
              <w:spacing w:after="0"/>
              <w:rPr>
                <w:sz w:val="1"/>
                <w:szCs w:val="1"/>
                <w:color w:val="auto"/>
              </w:rPr>
            </w:pPr>
          </w:p>
        </w:tc>
      </w:tr>
      <w:tr>
        <w:trPr>
          <w:trHeight w:val="92"/>
        </w:trPr>
        <w:tc>
          <w:tcPr>
            <w:tcW w:w="6820" w:type="dxa"/>
            <w:vAlign w:val="bottom"/>
          </w:tcPr>
          <w:p>
            <w:pPr>
              <w:spacing w:after="0"/>
              <w:rPr>
                <w:sz w:val="7"/>
                <w:szCs w:val="7"/>
                <w:color w:val="auto"/>
              </w:rPr>
            </w:pPr>
          </w:p>
        </w:tc>
        <w:tc>
          <w:tcPr>
            <w:tcW w:w="1300" w:type="dxa"/>
            <w:vAlign w:val="bottom"/>
            <w:vMerge w:val="restart"/>
          </w:tcPr>
          <w:p>
            <w:pPr>
              <w:spacing w:after="0"/>
              <w:rPr>
                <w:sz w:val="20"/>
                <w:szCs w:val="20"/>
                <w:color w:val="auto"/>
              </w:rPr>
            </w:pPr>
            <w:r>
              <w:rPr>
                <w:rFonts w:ascii="Arial" w:cs="Arial" w:eastAsia="Arial" w:hAnsi="Arial"/>
                <w:sz w:val="17"/>
                <w:szCs w:val="17"/>
                <w:color w:val="0000FF"/>
                <w:w w:val="94"/>
              </w:rPr>
              <w:t>Power of Attorney</w:t>
            </w:r>
          </w:p>
        </w:tc>
        <w:tc>
          <w:tcPr>
            <w:tcW w:w="10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6820" w:type="dxa"/>
            <w:vAlign w:val="bottom"/>
          </w:tcPr>
          <w:p>
            <w:pPr>
              <w:spacing w:after="0"/>
              <w:rPr>
                <w:sz w:val="7"/>
                <w:szCs w:val="7"/>
                <w:color w:val="auto"/>
              </w:rPr>
            </w:pPr>
          </w:p>
        </w:tc>
        <w:tc>
          <w:tcPr>
            <w:tcW w:w="13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6820" w:type="dxa"/>
            <w:vAlign w:val="bottom"/>
          </w:tcPr>
          <w:p>
            <w:pPr>
              <w:spacing w:after="0"/>
              <w:rPr>
                <w:sz w:val="20"/>
                <w:szCs w:val="20"/>
                <w:color w:val="auto"/>
              </w:rPr>
            </w:pPr>
          </w:p>
        </w:tc>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240"/>
          </w:cols>
          <w:pgMar w:left="280" w:top="125" w:right="1379" w:bottom="1440" w:gutter="0" w:footer="0" w:header="0"/>
        </w:sectPr>
      </w:pPr>
    </w:p>
    <w:bookmarkStart w:id="2" w:name="page3"/>
    <w:bookmarkEnd w:id="2"/>
    <w:p>
      <w:pPr>
        <w:ind w:right="4039"/>
        <w:spacing w:after="0" w:line="25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3" w:lineRule="exact"/>
        <w:rPr>
          <w:sz w:val="20"/>
          <w:szCs w:val="20"/>
          <w:color w:val="auto"/>
        </w:rPr>
      </w:pPr>
    </w:p>
    <w:p>
      <w:pPr>
        <w:ind w:right="3839" w:firstLine="7"/>
        <w:spacing w:after="0" w:line="250" w:lineRule="auto"/>
        <w:tabs>
          <w:tab w:leader="none" w:pos="419"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2" w:lineRule="exact"/>
        <w:rPr>
          <w:rFonts w:ascii="Courier New" w:cs="Courier New" w:eastAsia="Courier New" w:hAnsi="Courier New"/>
          <w:sz w:val="17"/>
          <w:szCs w:val="17"/>
          <w:color w:val="auto"/>
        </w:rPr>
      </w:pPr>
    </w:p>
    <w:p>
      <w:pPr>
        <w:ind w:right="3719" w:firstLine="7"/>
        <w:spacing w:after="0" w:line="250" w:lineRule="auto"/>
        <w:tabs>
          <w:tab w:leader="none" w:pos="419"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7"/>
          <w:szCs w:val="17"/>
          <w:color w:val="auto"/>
        </w:rPr>
      </w:pPr>
    </w:p>
    <w:p>
      <w:pPr>
        <w:ind w:right="32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3" w:lineRule="exact"/>
        <w:rPr>
          <w:rFonts w:ascii="Courier New" w:cs="Courier New" w:eastAsia="Courier New" w:hAnsi="Courier New"/>
          <w:sz w:val="17"/>
          <w:szCs w:val="17"/>
          <w:color w:val="auto"/>
        </w:rPr>
      </w:pPr>
    </w:p>
    <w:p>
      <w:pPr>
        <w:ind w:right="31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3" w:lineRule="exact"/>
        <w:rPr>
          <w:rFonts w:ascii="Courier New" w:cs="Courier New" w:eastAsia="Courier New" w:hAnsi="Courier New"/>
          <w:sz w:val="17"/>
          <w:szCs w:val="17"/>
          <w:color w:val="auto"/>
        </w:rPr>
      </w:pPr>
    </w:p>
    <w:p>
      <w:pPr>
        <w:ind w:right="32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96" w:lineRule="exact"/>
        <w:rPr>
          <w:rFonts w:ascii="Courier New" w:cs="Courier New" w:eastAsia="Courier New" w:hAnsi="Courier New"/>
          <w:sz w:val="17"/>
          <w:szCs w:val="17"/>
          <w:color w:val="auto"/>
        </w:rPr>
      </w:pPr>
    </w:p>
    <w:p>
      <w:pPr>
        <w:ind w:right="31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spacing w:after="0" w:line="1" w:lineRule="exact"/>
        <w:rPr>
          <w:rFonts w:ascii="Courier New" w:cs="Courier New" w:eastAsia="Courier New" w:hAnsi="Courier New"/>
          <w:sz w:val="17"/>
          <w:szCs w:val="17"/>
          <w:color w:val="auto"/>
        </w:rPr>
      </w:pPr>
    </w:p>
    <w:p>
      <w:pPr>
        <w:ind w:right="393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3" w:lineRule="exact"/>
        <w:rPr>
          <w:rFonts w:ascii="Courier New" w:cs="Courier New" w:eastAsia="Courier New" w:hAnsi="Courier New"/>
          <w:sz w:val="17"/>
          <w:szCs w:val="17"/>
          <w:color w:val="auto"/>
        </w:rPr>
      </w:pPr>
    </w:p>
    <w:p>
      <w:pPr>
        <w:ind w:right="487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20th day of June 2008.</w:t>
      </w:r>
    </w:p>
    <w:p>
      <w:pPr>
        <w:spacing w:after="0" w:line="21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7"/>
          <w:szCs w:val="17"/>
          <w:color w:val="auto"/>
        </w:rPr>
        <w:t>/s/</w:t>
        <w:tab/>
        <w:t>Raymond Barrette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2019-12-18T13:27:03Z</dcterms:created>
  <dcterms:modified xsi:type="dcterms:W3CDTF">2019-12-18T13:27:03Z</dcterms:modified>
</cp:coreProperties>
</file>