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63"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BERKOWITZ BRUCE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11/11/2005</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63"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2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jc w:val="center"/>
              <w:ind w:left="59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625</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82,500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626</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81,500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626.01</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81,000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626.02</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80,000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2,600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627</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77,400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400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627.01</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77,000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628.5</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76,500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629</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76,000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630</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75,500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300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631.1</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75,200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631.5</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74,700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200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631.6</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74,500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632</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73,500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700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633</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72,800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400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633.01</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72,400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93"/>
              </w:rPr>
              <w:t>900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633.02</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71,500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880" w:type="dxa"/>
            <w:vAlign w:val="bottom"/>
            <w:vMerge w:val="restart"/>
          </w:tcPr>
          <w:p>
            <w:pPr>
              <w:ind w:left="8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vMerge w:val="restart"/>
          </w:tcPr>
          <w:p>
            <w:pPr>
              <w:ind w:left="60"/>
              <w:spacing w:after="0"/>
              <w:rPr>
                <w:sz w:val="20"/>
                <w:szCs w:val="20"/>
                <w:color w:val="auto"/>
              </w:rPr>
            </w:pPr>
            <w:r>
              <w:rPr>
                <w:rFonts w:ascii="Arial" w:cs="Arial" w:eastAsia="Arial" w:hAnsi="Arial"/>
                <w:sz w:val="18"/>
                <w:szCs w:val="18"/>
                <w:color w:val="0000FF"/>
              </w:rPr>
              <w:t>Common Shares</w:t>
            </w:r>
          </w:p>
        </w:tc>
        <w:tc>
          <w:tcPr>
            <w:tcW w:w="1820" w:type="dxa"/>
            <w:vAlign w:val="bottom"/>
            <w:vMerge w:val="restart"/>
          </w:tcPr>
          <w:p>
            <w:pPr>
              <w:jc w:val="center"/>
              <w:ind w:left="596"/>
              <w:spacing w:after="0"/>
              <w:rPr>
                <w:sz w:val="20"/>
                <w:szCs w:val="20"/>
                <w:color w:val="auto"/>
              </w:rPr>
            </w:pPr>
            <w:r>
              <w:rPr>
                <w:rFonts w:ascii="Arial" w:cs="Arial" w:eastAsia="Arial" w:hAnsi="Arial"/>
                <w:sz w:val="18"/>
                <w:szCs w:val="18"/>
                <w:color w:val="0000FF"/>
                <w:w w:val="86"/>
              </w:rPr>
              <w:t>11/11/2005</w:t>
            </w:r>
          </w:p>
        </w:tc>
        <w:tc>
          <w:tcPr>
            <w:tcW w:w="114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vMerge w:val="restart"/>
          </w:tcPr>
          <w:p>
            <w:pPr>
              <w:ind w:left="280"/>
              <w:spacing w:after="0"/>
              <w:rPr>
                <w:sz w:val="20"/>
                <w:szCs w:val="20"/>
                <w:color w:val="auto"/>
              </w:rPr>
            </w:pPr>
            <w:r>
              <w:rPr>
                <w:rFonts w:ascii="Arial" w:cs="Arial" w:eastAsia="Arial" w:hAnsi="Arial"/>
                <w:sz w:val="18"/>
                <w:szCs w:val="18"/>
                <w:color w:val="0000FF"/>
              </w:rPr>
              <w:t>D</w:t>
            </w:r>
          </w:p>
        </w:tc>
        <w:tc>
          <w:tcPr>
            <w:tcW w:w="740" w:type="dxa"/>
            <w:vAlign w:val="bottom"/>
            <w:vMerge w:val="restart"/>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633.1</w:t>
            </w:r>
          </w:p>
        </w:tc>
        <w:tc>
          <w:tcPr>
            <w:tcW w:w="1160" w:type="dxa"/>
            <w:vAlign w:val="bottom"/>
            <w:vMerge w:val="restart"/>
          </w:tcPr>
          <w:p>
            <w:pPr>
              <w:jc w:val="right"/>
              <w:ind w:right="240"/>
              <w:spacing w:after="0"/>
              <w:rPr>
                <w:sz w:val="20"/>
                <w:szCs w:val="20"/>
                <w:color w:val="auto"/>
              </w:rPr>
            </w:pPr>
            <w:r>
              <w:rPr>
                <w:rFonts w:ascii="Arial" w:cs="Arial" w:eastAsia="Arial" w:hAnsi="Arial"/>
                <w:sz w:val="18"/>
                <w:szCs w:val="18"/>
                <w:color w:val="0000FF"/>
              </w:rPr>
              <w:t>70,500</w:t>
            </w:r>
          </w:p>
        </w:tc>
        <w:tc>
          <w:tcPr>
            <w:tcW w:w="960" w:type="dxa"/>
            <w:vAlign w:val="bottom"/>
            <w:vMerge w:val="restart"/>
          </w:tcPr>
          <w:p>
            <w:pPr>
              <w:ind w:left="48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6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185"/>
        </w:trPr>
        <w:tc>
          <w:tcPr>
            <w:tcW w:w="20" w:type="dxa"/>
            <w:vAlign w:val="bottom"/>
            <w:tcBorders>
              <w:bottom w:val="single" w:sz="8" w:color="2C2C2C"/>
            </w:tcBorders>
          </w:tcPr>
          <w:p>
            <w:pPr>
              <w:spacing w:after="0"/>
              <w:rPr>
                <w:sz w:val="16"/>
                <w:szCs w:val="16"/>
                <w:color w:val="auto"/>
              </w:rPr>
            </w:pPr>
          </w:p>
        </w:tc>
        <w:tc>
          <w:tcPr>
            <w:tcW w:w="2560" w:type="dxa"/>
            <w:vAlign w:val="bottom"/>
            <w:tcBorders>
              <w:bottom w:val="single" w:sz="8" w:color="2C2C2C"/>
            </w:tcBorders>
          </w:tcPr>
          <w:p>
            <w:pPr>
              <w:spacing w:after="0"/>
              <w:rPr>
                <w:sz w:val="16"/>
                <w:szCs w:val="16"/>
                <w:color w:val="auto"/>
              </w:rPr>
            </w:pPr>
          </w:p>
        </w:tc>
        <w:tc>
          <w:tcPr>
            <w:tcW w:w="1820" w:type="dxa"/>
            <w:vAlign w:val="bottom"/>
            <w:tcBorders>
              <w:bottom w:val="single" w:sz="8" w:color="2C2C2C"/>
            </w:tcBorders>
          </w:tcPr>
          <w:p>
            <w:pPr>
              <w:spacing w:after="0"/>
              <w:rPr>
                <w:sz w:val="16"/>
                <w:szCs w:val="16"/>
                <w:color w:val="auto"/>
              </w:rPr>
            </w:pPr>
          </w:p>
        </w:tc>
        <w:tc>
          <w:tcPr>
            <w:tcW w:w="114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6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116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900" w:type="dxa"/>
            <w:vAlign w:val="bottom"/>
            <w:tcBorders>
              <w:bottom w:val="single" w:sz="8" w:color="2C2C2C"/>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63"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822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1822450"/>
                    </a:xfrm>
                    <a:prstGeom prst="rect">
                      <a:avLst/>
                    </a:prstGeom>
                    <a:noFill/>
                  </pic:spPr>
                </pic:pic>
              </a:graphicData>
            </a:graphic>
          </wp:anchor>
        </w:drawing>
        <w:t>Table II - Derivative Securities Acquired, Disposed of, or Beneficially Owned</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firstLine="9"/>
        <w:spacing w:after="0" w:line="278"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Fairholme Partners L.P. ("Fairholme Partners") is the beneficial owner of 62,000 Common Shares of WTM; Fairholme Ventures II, LLC ("Fairholme Ventures") is the beneficial owner of 1,500 Common Shares of WTM; and Fairholme Funds, Inc./The Fairholme Fund (the "Fairholme Fund") is the beneficial owner of 7,000 Common Shares of WTM. Mr. Berkowitz is the Managing Member of the General Partner of Fairholme Partners and Managing Member of the Managing Member of Fairholme Ventures and Managing Member of the Investment Adviser to Fairholme Fund. Mr. Berkowitz disclaims beneficial ownership of the WTM Common Shares owned by Fairholme Partners, Fairholme Ventures and Fairholme Fund except to the extent of his pecuniary interest therein.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Dennis P. Beaulieu, by Power</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11/14/2005</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20"/>
          </w:cols>
          <w:pgMar w:left="280" w:top="188" w:right="299" w:bottom="1440" w:gutter="0" w:footer="0" w:header="0"/>
        </w:sectPr>
      </w:pPr>
    </w:p>
    <w:bookmarkStart w:id="2" w:name="page3"/>
    <w:bookmarkEnd w:id="2"/>
    <w:p>
      <w:pPr>
        <w:ind w:right="3579"/>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Brian Palmer, Chief Accounting Officer, Robert L. Seelig, General Counsel, and</w:t>
      </w:r>
    </w:p>
    <w:p>
      <w:pPr>
        <w:spacing w:after="0" w:line="6"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Dennis P. Beaulieu, Secretary, of White Mountains Insurance Group, Ltd., signing singly, the undersigned's true and lawful attorney-in-fact to:</w:t>
      </w:r>
    </w:p>
    <w:p>
      <w:pPr>
        <w:spacing w:after="0" w:line="6"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14th day of May, 2004.</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Bruce Berkowitz</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434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2019-12-17T11:02:36Z</dcterms:created>
  <dcterms:modified xsi:type="dcterms:W3CDTF">2019-12-17T11:02:36Z</dcterms:modified>
</cp:coreProperties>
</file>