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03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03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94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BERKOWITZ BRUCE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12/08/2006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945"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12/08/2006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rPr>
              <w:t>V</w:t>
            </w: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14,148</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tcPr>
          <w:p>
            <w:pPr>
              <w:ind w:left="16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56"/>
              <w:spacing w:after="0" w:line="324" w:lineRule="exact"/>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(2)</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2"/>
              </w:rPr>
              <w:t>7,074</w:t>
            </w:r>
            <w:r>
              <w:rPr>
                <w:rFonts w:ascii="Arial" w:cs="Arial" w:eastAsia="Arial" w:hAnsi="Arial"/>
                <w:sz w:val="22"/>
                <w:szCs w:val="22"/>
                <w:color w:val="008000"/>
                <w:w w:val="82"/>
                <w:vertAlign w:val="superscript"/>
              </w:rPr>
              <w:t>(2)</w:t>
            </w:r>
          </w:p>
        </w:tc>
        <w:tc>
          <w:tcPr>
            <w:tcW w:w="30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7"/>
              </w:rPr>
              <w:t>By East Lane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8"/>
              </w:rPr>
              <w:t>By Fairholme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restart"/>
          </w:tcPr>
          <w:p>
            <w:pPr>
              <w:jc w:val="center"/>
              <w:ind w:left="356"/>
              <w:spacing w:after="0" w:line="386" w:lineRule="exact"/>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2"/>
              </w:rPr>
              <w:t>8,500</w:t>
            </w:r>
            <w:r>
              <w:rPr>
                <w:rFonts w:ascii="Arial" w:cs="Arial" w:eastAsia="Arial" w:hAnsi="Arial"/>
                <w:sz w:val="22"/>
                <w:szCs w:val="22"/>
                <w:color w:val="008000"/>
                <w:w w:val="82"/>
                <w:vertAlign w:val="superscript"/>
              </w:rPr>
              <w:t>(3)</w:t>
            </w:r>
          </w:p>
        </w:tc>
        <w:tc>
          <w:tcPr>
            <w:tcW w:w="30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6"/>
              </w:rPr>
              <w:t>See Footnote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rPr>
              <w:t>2</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Value of WTM Common Shares gifted based on price of WTM Common Shares on the date of gift.</w:t>
      </w:r>
    </w:p>
    <w:p>
      <w:pPr>
        <w:spacing w:after="0" w:line="41" w:lineRule="exact"/>
        <w:rPr>
          <w:rFonts w:ascii="Arial" w:cs="Arial" w:eastAsia="Arial" w:hAnsi="Arial"/>
          <w:sz w:val="14"/>
          <w:szCs w:val="14"/>
          <w:color w:val="008000"/>
        </w:rPr>
      </w:pPr>
    </w:p>
    <w:p>
      <w:pPr>
        <w:jc w:val="both"/>
        <w:ind w:left="40" w:right="2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Since March 21, 2006, Mr. Berkowitz's last filing date, 11,190 WTM Common Shares previously reported as indirectly owned through Fairholme Capital Management, L.L.C. ("Fairholme Capital") were distributed to Mr. Berkowitz and 5,595 WTM Common Shares previously reported as indirectly owned through Fairholme Capital were distributed to East Lane L.L.C. ("East Lane"). Fairholme Capital is a registered investment adviser owned by Mr. Berkowitz and East Lane. Mr. Berkowitz is the Managing Member of Fairholme Capital and East Lane.</w:t>
      </w:r>
    </w:p>
    <w:p>
      <w:pPr>
        <w:spacing w:after="0" w:line="2" w:lineRule="exact"/>
        <w:rPr>
          <w:rFonts w:ascii="Arial" w:cs="Arial" w:eastAsia="Arial" w:hAnsi="Arial"/>
          <w:sz w:val="12"/>
          <w:szCs w:val="12"/>
          <w:color w:val="008000"/>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Fairholme Ventures II, LLC ("Fairholme Ventures") is the beneficial owner of 1,500 Common Shares of WTM and Fairholme Funds, Inc./The Fairholme Fund (the "Fairholme Fund") is the beneficial owner of 7,000 Common Shares of WTM. Mr. Berkowitz is the Managing Member of Fairholme Capital which is the Managing Member of Fairholme Ventures and the Investment Adviser to Fairholme Fund. Mr. Berkowitz disclaims beneficial ownership of the WTM Common Shares owned by Fairholme Ventures and Fairholme Fund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Dennis P. Beaulieu, by Power</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12/11/2006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945"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May,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Berkowitz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3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2019-12-17T11:16:45Z</dcterms:created>
  <dcterms:modified xsi:type="dcterms:W3CDTF">2019-12-17T11:16:45Z</dcterms:modified>
</cp:coreProperties>
</file>