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LOWNDES ANDREW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05/24/2018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05/24/2018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250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3,152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Annual WTM Director Share Award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05/25/2018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2319"/>
        <w:spacing w:after="0" w:line="473" w:lineRule="auto"/>
        <w:rPr>
          <w:sz w:val="20"/>
          <w:szCs w:val="20"/>
          <w:color w:val="auto"/>
        </w:rPr>
      </w:pPr>
      <w:r>
        <w:rPr>
          <w:rFonts w:ascii="Courier New" w:cs="Courier New" w:eastAsia="Courier New" w:hAnsi="Courier New"/>
          <w:sz w:val="18"/>
          <w:szCs w:val="18"/>
          <w:color w:val="auto"/>
        </w:rPr>
        <w:t>constitutes and appoints each of Robert L. Seelig, Executive Vice President and General Counsel, Jennifer L. Moyer, Managing Director &amp; Corporate Secretary, Jason R. Lichtenstein,</w:t>
      </w:r>
    </w:p>
    <w:p>
      <w:pPr>
        <w:spacing w:after="0" w:line="10"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Managing Director &amp; Associate General Counsel, and Wesley Bell, Vice President &amp; Associate General Counsel,signing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Lowndes A. Smith</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030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2019-12-24T09:12:38Z</dcterms:created>
  <dcterms:modified xsi:type="dcterms:W3CDTF">2019-12-24T09:12:38Z</dcterms:modified>
</cp:coreProperties>
</file>