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8921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892165"/>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40" w:space="36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GILLESPIE JOHN DAVIES</w:t>
        </w:r>
      </w:hyperlink>
    </w:p>
    <w:p>
      <w:pPr>
        <w:spacing w:after="0" w:line="31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140"/>
        <w:spacing w:after="0" w:line="290" w:lineRule="auto"/>
        <w:rPr>
          <w:sz w:val="20"/>
          <w:szCs w:val="20"/>
          <w:color w:val="auto"/>
        </w:rPr>
      </w:pPr>
      <w:r>
        <w:rPr>
          <w:rFonts w:ascii="Arial" w:cs="Arial" w:eastAsia="Arial" w:hAnsi="Arial"/>
          <w:sz w:val="17"/>
          <w:szCs w:val="17"/>
          <w:color w:val="0000FF"/>
        </w:rPr>
        <w:t>C/O WHITE MOUNTAINS INSURANCE GROUP, LTD</w:t>
      </w:r>
    </w:p>
    <w:p>
      <w:pPr>
        <w:spacing w:after="0" w:line="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80 SOUTH MAIN STREET</w:t>
      </w:r>
    </w:p>
    <w:p>
      <w:pPr>
        <w:spacing w:after="0" w:line="303"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238"/>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HANOVER</w:t>
            </w:r>
          </w:p>
        </w:tc>
        <w:tc>
          <w:tcPr>
            <w:tcW w:w="1060" w:type="dxa"/>
            <w:vAlign w:val="bottom"/>
          </w:tcPr>
          <w:p>
            <w:pPr>
              <w:ind w:left="220"/>
              <w:spacing w:after="0"/>
              <w:rPr>
                <w:sz w:val="20"/>
                <w:szCs w:val="20"/>
                <w:color w:val="auto"/>
              </w:rPr>
            </w:pPr>
            <w:r>
              <w:rPr>
                <w:rFonts w:ascii="Arial" w:cs="Arial" w:eastAsia="Arial" w:hAnsi="Arial"/>
                <w:sz w:val="17"/>
                <w:szCs w:val="17"/>
                <w:color w:val="0000FF"/>
              </w:rPr>
              <w:t>NH</w:t>
            </w:r>
          </w:p>
        </w:tc>
        <w:tc>
          <w:tcPr>
            <w:tcW w:w="1660" w:type="dxa"/>
            <w:vAlign w:val="bottom"/>
          </w:tcPr>
          <w:p>
            <w:pPr>
              <w:ind w:left="440"/>
              <w:spacing w:after="0"/>
              <w:rPr>
                <w:sz w:val="20"/>
                <w:szCs w:val="20"/>
                <w:color w:val="auto"/>
              </w:rPr>
            </w:pPr>
            <w:r>
              <w:rPr>
                <w:rFonts w:ascii="Arial" w:cs="Arial" w:eastAsia="Arial" w:hAnsi="Arial"/>
                <w:sz w:val="17"/>
                <w:szCs w:val="17"/>
                <w:color w:val="0000FF"/>
              </w:rPr>
              <w:t>03755</w:t>
            </w:r>
          </w:p>
        </w:tc>
      </w:tr>
      <w:tr>
        <w:trPr>
          <w:trHeight w:val="154"/>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5"/>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20"/>
              <w:spacing w:after="0"/>
              <w:rPr>
                <w:sz w:val="20"/>
                <w:szCs w:val="20"/>
                <w:color w:val="auto"/>
              </w:rPr>
            </w:pPr>
            <w:r>
              <w:rPr>
                <w:rFonts w:ascii="Arial" w:cs="Arial" w:eastAsia="Arial" w:hAnsi="Arial"/>
                <w:sz w:val="13"/>
                <w:szCs w:val="13"/>
                <w:color w:val="auto"/>
              </w:rPr>
              <w:t>(State)</w:t>
            </w:r>
          </w:p>
        </w:tc>
        <w:tc>
          <w:tcPr>
            <w:tcW w:w="166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980" w:type="dxa"/>
            <w:vAlign w:val="bottom"/>
            <w:gridSpan w:val="4"/>
          </w:tcPr>
          <w:p>
            <w:pPr>
              <w:ind w:left="60"/>
              <w:spacing w:after="0" w:line="141"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3"/>
        </w:trPr>
        <w:tc>
          <w:tcPr>
            <w:tcW w:w="3980" w:type="dxa"/>
            <w:vAlign w:val="bottom"/>
            <w:gridSpan w:val="4"/>
            <w:vMerge w:val="restart"/>
          </w:tcPr>
          <w:p>
            <w:pPr>
              <w:ind w:left="60"/>
              <w:spacing w:after="0" w:line="21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0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3980" w:type="dxa"/>
            <w:vAlign w:val="bottom"/>
            <w:gridSpan w:val="4"/>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1180" w:type="dxa"/>
            <w:vAlign w:val="bottom"/>
            <w:tcBorders>
              <w:top w:val="single" w:sz="8" w:color="0000EE"/>
            </w:tcBorders>
          </w:tcPr>
          <w:p>
            <w:pPr>
              <w:spacing w:after="0"/>
              <w:rPr>
                <w:sz w:val="12"/>
                <w:szCs w:val="12"/>
                <w:color w:val="auto"/>
              </w:rPr>
            </w:pPr>
          </w:p>
        </w:tc>
        <w:tc>
          <w:tcPr>
            <w:tcW w:w="2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2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00" w:type="dxa"/>
            <w:vAlign w:val="bottom"/>
          </w:tcPr>
          <w:p>
            <w:pPr>
              <w:spacing w:after="0"/>
              <w:rPr>
                <w:sz w:val="14"/>
                <w:szCs w:val="14"/>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below)</w:t>
            </w:r>
          </w:p>
        </w:tc>
        <w:tc>
          <w:tcPr>
            <w:tcW w:w="1520" w:type="dxa"/>
            <w:vAlign w:val="bottom"/>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91"/>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240" w:type="dxa"/>
            <w:vAlign w:val="bottom"/>
            <w:gridSpan w:val="2"/>
          </w:tcPr>
          <w:p>
            <w:pPr>
              <w:ind w:left="60"/>
              <w:spacing w:after="0"/>
              <w:rPr>
                <w:sz w:val="20"/>
                <w:szCs w:val="20"/>
                <w:color w:val="auto"/>
              </w:rPr>
            </w:pPr>
            <w:r>
              <w:rPr>
                <w:rFonts w:ascii="Arial" w:cs="Arial" w:eastAsia="Arial" w:hAnsi="Arial"/>
                <w:sz w:val="17"/>
                <w:szCs w:val="17"/>
                <w:color w:val="0000FF"/>
              </w:rPr>
              <w:t>11/09/2005</w:t>
            </w:r>
          </w:p>
        </w:tc>
        <w:tc>
          <w:tcPr>
            <w:tcW w:w="2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0" w:type="dxa"/>
            <w:vAlign w:val="bottom"/>
            <w:tcBorders>
              <w:bottom w:val="single" w:sz="8" w:color="2C2C2C"/>
            </w:tcBorders>
          </w:tcPr>
          <w:p>
            <w:pPr>
              <w:spacing w:after="0"/>
              <w:rPr>
                <w:sz w:val="17"/>
                <w:szCs w:val="17"/>
                <w:color w:val="auto"/>
              </w:rPr>
            </w:pPr>
          </w:p>
        </w:tc>
        <w:tc>
          <w:tcPr>
            <w:tcW w:w="1180" w:type="dxa"/>
            <w:vAlign w:val="bottom"/>
            <w:tcBorders>
              <w:bottom w:val="single" w:sz="8" w:color="2C2C2C"/>
            </w:tcBorders>
          </w:tcPr>
          <w:p>
            <w:pPr>
              <w:spacing w:after="0"/>
              <w:rPr>
                <w:sz w:val="17"/>
                <w:szCs w:val="17"/>
                <w:color w:val="auto"/>
              </w:rPr>
            </w:pPr>
          </w:p>
        </w:tc>
        <w:tc>
          <w:tcPr>
            <w:tcW w:w="21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3420" w:type="dxa"/>
            <w:vAlign w:val="bottom"/>
            <w:tcBorders>
              <w:bottom w:val="single" w:sz="8" w:color="2C2C2C"/>
            </w:tcBorders>
            <w:gridSpan w:val="3"/>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31"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509" w:lineRule="exact"/>
        <w:rPr>
          <w:sz w:val="20"/>
          <w:szCs w:val="20"/>
          <w:color w:val="auto"/>
        </w:rPr>
      </w:pPr>
    </w:p>
    <w:p>
      <w:pPr>
        <w:sectPr>
          <w:pgSz w:w="11900" w:h="16838" w:orient="portrait"/>
          <w:cols w:equalWidth="0" w:num="2">
            <w:col w:w="3900" w:space="100"/>
            <w:col w:w="752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78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80" w:type="dxa"/>
            <w:vAlign w:val="bottom"/>
          </w:tcPr>
          <w:p>
            <w:pPr>
              <w:spacing w:after="0"/>
              <w:rPr>
                <w:sz w:val="13"/>
                <w:szCs w:val="13"/>
                <w:color w:val="auto"/>
              </w:rPr>
            </w:pP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ind w:left="540"/>
              <w:spacing w:after="0" w:line="130"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50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gridSpan w:val="4"/>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78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89"/>
              </w:rPr>
              <w:t>1,676</w:t>
            </w:r>
          </w:p>
        </w:tc>
        <w:tc>
          <w:tcPr>
            <w:tcW w:w="360" w:type="dxa"/>
            <w:vAlign w:val="bottom"/>
          </w:tcPr>
          <w:p>
            <w:pPr>
              <w:spacing w:after="0"/>
              <w:rPr>
                <w:sz w:val="22"/>
                <w:szCs w:val="22"/>
                <w:color w:val="auto"/>
              </w:rPr>
            </w:pPr>
          </w:p>
        </w:tc>
        <w:tc>
          <w:tcPr>
            <w:tcW w:w="560" w:type="dxa"/>
            <w:vAlign w:val="bottom"/>
          </w:tcPr>
          <w:p>
            <w:pPr>
              <w:ind w:left="20"/>
              <w:spacing w:after="0"/>
              <w:rPr>
                <w:sz w:val="20"/>
                <w:szCs w:val="20"/>
                <w:color w:val="auto"/>
              </w:rPr>
            </w:pPr>
            <w:r>
              <w:rPr>
                <w:rFonts w:ascii="Arial" w:cs="Arial" w:eastAsia="Arial" w:hAnsi="Arial"/>
                <w:sz w:val="17"/>
                <w:szCs w:val="17"/>
                <w:color w:val="0000FF"/>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7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560" w:type="dxa"/>
            <w:vAlign w:val="bottom"/>
            <w:gridSpan w:val="2"/>
            <w:vMerge w:val="restart"/>
          </w:tcPr>
          <w:p>
            <w:pPr>
              <w:ind w:left="640"/>
              <w:spacing w:after="0"/>
              <w:rPr>
                <w:sz w:val="20"/>
                <w:szCs w:val="20"/>
                <w:color w:val="auto"/>
              </w:rPr>
            </w:pPr>
            <w:r>
              <w:rPr>
                <w:rFonts w:ascii="Arial" w:cs="Arial" w:eastAsia="Arial" w:hAnsi="Arial"/>
                <w:sz w:val="17"/>
                <w:szCs w:val="17"/>
                <w:color w:val="0000FF"/>
              </w:rPr>
              <w:t>11/09/2005</w:t>
            </w: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vMerge w:val="restart"/>
          </w:tcPr>
          <w:p>
            <w:pPr>
              <w:ind w:left="200"/>
              <w:spacing w:after="0"/>
              <w:rPr>
                <w:sz w:val="20"/>
                <w:szCs w:val="20"/>
                <w:color w:val="auto"/>
              </w:rPr>
            </w:pPr>
            <w:r>
              <w:rPr>
                <w:rFonts w:ascii="Arial" w:cs="Arial" w:eastAsia="Arial" w:hAnsi="Arial"/>
                <w:sz w:val="13"/>
                <w:szCs w:val="13"/>
                <w:color w:val="0000FF"/>
              </w:rPr>
              <w:t>S</w:t>
            </w:r>
          </w:p>
        </w:tc>
        <w:tc>
          <w:tcPr>
            <w:tcW w:w="720" w:type="dxa"/>
            <w:vAlign w:val="bottom"/>
            <w:vMerge w:val="restart"/>
          </w:tcPr>
          <w:p>
            <w:pPr>
              <w:ind w:left="180"/>
              <w:spacing w:after="0"/>
              <w:rPr>
                <w:sz w:val="20"/>
                <w:szCs w:val="20"/>
                <w:color w:val="auto"/>
              </w:rPr>
            </w:pPr>
            <w:r>
              <w:rPr>
                <w:rFonts w:ascii="Arial" w:cs="Arial" w:eastAsia="Arial" w:hAnsi="Arial"/>
                <w:sz w:val="17"/>
                <w:szCs w:val="17"/>
                <w:color w:val="0000FF"/>
                <w:w w:val="99"/>
              </w:rPr>
              <w:t>12,000</w:t>
            </w:r>
          </w:p>
        </w:tc>
        <w:tc>
          <w:tcPr>
            <w:tcW w:w="700" w:type="dxa"/>
            <w:vAlign w:val="bottom"/>
            <w:vMerge w:val="restart"/>
          </w:tcPr>
          <w:p>
            <w:pPr>
              <w:ind w:left="320"/>
              <w:spacing w:after="0"/>
              <w:rPr>
                <w:sz w:val="20"/>
                <w:szCs w:val="20"/>
                <w:color w:val="auto"/>
              </w:rPr>
            </w:pPr>
            <w:r>
              <w:rPr>
                <w:rFonts w:ascii="Arial" w:cs="Arial" w:eastAsia="Arial" w:hAnsi="Arial"/>
                <w:sz w:val="17"/>
                <w:szCs w:val="17"/>
                <w:color w:val="0000FF"/>
              </w:rPr>
              <w:t>D</w:t>
            </w:r>
          </w:p>
        </w:tc>
        <w:tc>
          <w:tcPr>
            <w:tcW w:w="520" w:type="dxa"/>
            <w:vAlign w:val="bottom"/>
            <w:vMerge w:val="restart"/>
          </w:tcPr>
          <w:p>
            <w:pPr>
              <w:jc w:val="right"/>
              <w:ind w:right="3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619</w:t>
            </w:r>
          </w:p>
        </w:tc>
        <w:tc>
          <w:tcPr>
            <w:tcW w:w="4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50,000</w:t>
            </w:r>
          </w:p>
        </w:tc>
        <w:tc>
          <w:tcPr>
            <w:tcW w:w="360" w:type="dxa"/>
            <w:vAlign w:val="bottom"/>
          </w:tcPr>
          <w:p>
            <w:pPr>
              <w:spacing w:after="0"/>
              <w:rPr>
                <w:sz w:val="22"/>
                <w:szCs w:val="22"/>
                <w:color w:val="auto"/>
              </w:rPr>
            </w:pPr>
          </w:p>
        </w:tc>
        <w:tc>
          <w:tcPr>
            <w:tcW w:w="56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Footnote</w:t>
            </w:r>
            <w:r>
              <w:rPr>
                <w:rFonts w:ascii="Arial" w:cs="Arial" w:eastAsia="Arial" w:hAnsi="Arial"/>
                <w:sz w:val="22"/>
                <w:szCs w:val="22"/>
                <w:color w:val="008000"/>
                <w:w w:val="91"/>
                <w:vertAlign w:val="superscript"/>
              </w:rPr>
              <w:t>(1)</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78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left="415"/>
              <w:spacing w:after="0"/>
              <w:rPr>
                <w:sz w:val="20"/>
                <w:szCs w:val="20"/>
                <w:color w:val="auto"/>
              </w:rPr>
            </w:pPr>
            <w:r>
              <w:rPr>
                <w:rFonts w:ascii="Arial" w:cs="Arial" w:eastAsia="Arial" w:hAnsi="Arial"/>
                <w:sz w:val="17"/>
                <w:szCs w:val="17"/>
                <w:color w:val="0000FF"/>
                <w:w w:val="94"/>
              </w:rPr>
              <w:t>22</w:t>
            </w: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ind w:left="6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80"/>
              <w:spacing w:after="0"/>
              <w:rPr>
                <w:sz w:val="20"/>
                <w:szCs w:val="20"/>
                <w:color w:val="auto"/>
              </w:rPr>
            </w:pPr>
            <w:r>
              <w:rPr>
                <w:rFonts w:ascii="Arial" w:cs="Arial" w:eastAsia="Arial" w:hAnsi="Arial"/>
                <w:sz w:val="17"/>
                <w:szCs w:val="17"/>
                <w:color w:val="0000FF"/>
              </w:rPr>
              <w:t>By 401(K)</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6520" w:type="dxa"/>
            <w:vAlign w:val="bottom"/>
            <w:tcBorders>
              <w:bottom w:val="single" w:sz="8" w:color="2C2C2C"/>
            </w:tcBorders>
            <w:gridSpan w:val="9"/>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1"/>
          </w:tcPr>
          <w:p>
            <w:pPr>
              <w:ind w:left="8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960" w:type="dxa"/>
            <w:vAlign w:val="bottom"/>
          </w:tcPr>
          <w:p>
            <w:pPr>
              <w:ind w:left="20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7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20" w:type="dxa"/>
            <w:vAlign w:val="bottom"/>
          </w:tcPr>
          <w:p>
            <w:pPr>
              <w:ind w:left="60"/>
              <w:spacing w:after="0"/>
              <w:rPr>
                <w:sz w:val="20"/>
                <w:szCs w:val="20"/>
                <w:color w:val="auto"/>
              </w:rPr>
            </w:pPr>
            <w:r>
              <w:rPr>
                <w:rFonts w:ascii="Arial" w:cs="Arial" w:eastAsia="Arial" w:hAnsi="Arial"/>
                <w:sz w:val="13"/>
                <w:szCs w:val="13"/>
                <w:color w:val="0000FF"/>
              </w:rPr>
              <w:t>Phantom</w:t>
            </w: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20" w:type="dxa"/>
            <w:vAlign w:val="bottom"/>
          </w:tcPr>
          <w:p>
            <w:pPr>
              <w:ind w:left="60"/>
              <w:spacing w:after="0" w:line="146" w:lineRule="exact"/>
              <w:rPr>
                <w:sz w:val="20"/>
                <w:szCs w:val="20"/>
                <w:color w:val="auto"/>
              </w:rPr>
            </w:pPr>
            <w:r>
              <w:rPr>
                <w:rFonts w:ascii="Arial" w:cs="Arial" w:eastAsia="Arial" w:hAnsi="Arial"/>
                <w:sz w:val="13"/>
                <w:szCs w:val="13"/>
                <w:color w:val="0000FF"/>
              </w:rPr>
              <w:t>Shares</w:t>
            </w:r>
          </w:p>
        </w:tc>
        <w:tc>
          <w:tcPr>
            <w:tcW w:w="960" w:type="dxa"/>
            <w:vAlign w:val="bottom"/>
            <w:vMerge w:val="restart"/>
          </w:tcPr>
          <w:p>
            <w:pPr>
              <w:ind w:left="460"/>
              <w:spacing w:after="0"/>
              <w:rPr>
                <w:sz w:val="20"/>
                <w:szCs w:val="20"/>
                <w:color w:val="auto"/>
              </w:rPr>
            </w:pPr>
            <w:r>
              <w:rPr>
                <w:rFonts w:ascii="Arial" w:cs="Arial" w:eastAsia="Arial" w:hAnsi="Arial"/>
                <w:sz w:val="11"/>
                <w:szCs w:val="11"/>
                <w:color w:val="008000"/>
              </w:rPr>
              <w:t>(2)</w:t>
            </w:r>
          </w:p>
        </w:tc>
        <w:tc>
          <w:tcPr>
            <w:tcW w:w="10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ind w:left="280"/>
              <w:spacing w:after="0"/>
              <w:rPr>
                <w:sz w:val="20"/>
                <w:szCs w:val="20"/>
                <w:color w:val="auto"/>
              </w:rPr>
            </w:pPr>
            <w:r>
              <w:rPr>
                <w:rFonts w:ascii="Arial" w:cs="Arial" w:eastAsia="Arial" w:hAnsi="Arial"/>
                <w:sz w:val="11"/>
                <w:szCs w:val="11"/>
                <w:color w:val="008000"/>
              </w:rPr>
              <w:t>(3)</w:t>
            </w:r>
          </w:p>
        </w:tc>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Common</w:t>
            </w:r>
          </w:p>
        </w:tc>
        <w:tc>
          <w:tcPr>
            <w:tcW w:w="520" w:type="dxa"/>
            <w:vAlign w:val="bottom"/>
            <w:vMerge w:val="restart"/>
          </w:tcPr>
          <w:p>
            <w:pPr>
              <w:jc w:val="right"/>
              <w:ind w:right="34"/>
              <w:spacing w:after="0"/>
              <w:rPr>
                <w:sz w:val="20"/>
                <w:szCs w:val="20"/>
                <w:color w:val="auto"/>
              </w:rPr>
            </w:pPr>
            <w:r>
              <w:rPr>
                <w:rFonts w:ascii="Arial" w:cs="Arial" w:eastAsia="Arial" w:hAnsi="Arial"/>
                <w:sz w:val="17"/>
                <w:szCs w:val="17"/>
                <w:color w:val="0000FF"/>
                <w:w w:val="93"/>
              </w:rPr>
              <w:t>3,641</w:t>
            </w: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gridSpan w:val="2"/>
            <w:vMerge w:val="restart"/>
          </w:tcPr>
          <w:p>
            <w:pPr>
              <w:ind w:left="280"/>
              <w:spacing w:after="0"/>
              <w:rPr>
                <w:sz w:val="20"/>
                <w:szCs w:val="20"/>
                <w:color w:val="auto"/>
              </w:rPr>
            </w:pPr>
            <w:r>
              <w:rPr>
                <w:rFonts w:ascii="Arial" w:cs="Arial" w:eastAsia="Arial" w:hAnsi="Arial"/>
                <w:sz w:val="13"/>
                <w:szCs w:val="13"/>
                <w:color w:val="0000FF"/>
              </w:rPr>
              <w:t>3,641</w:t>
            </w:r>
          </w:p>
        </w:tc>
        <w:tc>
          <w:tcPr>
            <w:tcW w:w="560" w:type="dxa"/>
            <w:vAlign w:val="bottom"/>
            <w:vMerge w:val="restart"/>
          </w:tcPr>
          <w:p>
            <w:pPr>
              <w:ind w:left="380"/>
              <w:spacing w:after="0"/>
              <w:rPr>
                <w:sz w:val="20"/>
                <w:szCs w:val="20"/>
                <w:color w:val="auto"/>
              </w:rPr>
            </w:pPr>
            <w:r>
              <w:rPr>
                <w:rFonts w:ascii="Arial" w:cs="Arial" w:eastAsia="Arial" w:hAnsi="Arial"/>
                <w:sz w:val="13"/>
                <w:szCs w:val="13"/>
                <w:color w:val="0000FF"/>
              </w:rPr>
              <w:t>D</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20" w:type="dxa"/>
            <w:vAlign w:val="bottom"/>
            <w:vMerge w:val="restart"/>
          </w:tcPr>
          <w:p>
            <w:pPr>
              <w:ind w:left="60"/>
              <w:spacing w:after="0"/>
              <w:rPr>
                <w:sz w:val="20"/>
                <w:szCs w:val="20"/>
                <w:color w:val="auto"/>
              </w:rPr>
            </w:pPr>
            <w:r>
              <w:rPr>
                <w:rFonts w:ascii="Arial" w:cs="Arial" w:eastAsia="Arial" w:hAnsi="Arial"/>
                <w:sz w:val="13"/>
                <w:szCs w:val="13"/>
                <w:color w:val="0000FF"/>
              </w:rPr>
              <w:t>(Deferred</w:t>
            </w:r>
          </w:p>
        </w:tc>
        <w:tc>
          <w:tcPr>
            <w:tcW w:w="9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vMerge w:val="restart"/>
          </w:tcPr>
          <w:p>
            <w:pPr>
              <w:ind w:left="14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Compensation)</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jc w:val="both"/>
        <w:ind w:left="40" w:right="220" w:firstLine="6"/>
        <w:spacing w:after="0" w:line="244"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Prospector Partners Fund L.P. ("Prospector") is the beneficial owner of 29,122 Common Shares; Prospector Offshore Fund (Bermuda) Ltd. ("Prospector Offshore") is the beneficial owner of 16,720 Common Shares; and Prospector Partners Small Cap Fund L.P. ("Prospector Small Cap") is the beneficial owner of 4,158 Common Shares. Mr. Gillespie disclaims beneficial ownership of the Common Shares owned by Prospector, Prospector Offshore and Prospector Small Cap except to the extent of his pecuniary interest therein. Mr. Gillespie's interest is limited to that as the principal of the general partner of each of Prospector and Prospector Small Cap and as principal of the investment manager of Prospector Offshore.</w:t>
      </w:r>
    </w:p>
    <w:p>
      <w:pPr>
        <w:spacing w:after="0" w:line="29"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Phantom Shares are convertible into Common Shares on a 1 for 1 basis.</w:t>
      </w:r>
    </w:p>
    <w:p>
      <w:pPr>
        <w:spacing w:after="0" w:line="49" w:lineRule="exact"/>
        <w:rPr>
          <w:rFonts w:ascii="Arial" w:cs="Arial" w:eastAsia="Arial" w:hAnsi="Arial"/>
          <w:sz w:val="13"/>
          <w:szCs w:val="13"/>
          <w:color w:val="008000"/>
        </w:rPr>
      </w:pPr>
    </w:p>
    <w:p>
      <w:pPr>
        <w:ind w:left="40" w:right="240" w:firstLine="6"/>
        <w:spacing w:after="0" w:line="264"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Phantom Shares are payable, as a result of the Reporting Person's separation of employment from WTM, in cash, in ten equal annual installments that commenced on October 6, 2005. Final payment is due on October 6, 2014.</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2"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Dennis P. Beaulieu, by Power</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11/10/2005</w:t>
            </w:r>
          </w:p>
        </w:tc>
        <w:tc>
          <w:tcPr>
            <w:tcW w:w="0" w:type="dxa"/>
            <w:vAlign w:val="bottom"/>
          </w:tcPr>
          <w:p>
            <w:pPr>
              <w:spacing w:after="0"/>
              <w:rPr>
                <w:sz w:val="1"/>
                <w:szCs w:val="1"/>
                <w:color w:val="auto"/>
              </w:rPr>
            </w:pPr>
          </w:p>
        </w:tc>
      </w:tr>
      <w:tr>
        <w:trPr>
          <w:trHeight w:val="91"/>
        </w:trPr>
        <w:tc>
          <w:tcPr>
            <w:tcW w:w="2060" w:type="dxa"/>
            <w:vAlign w:val="bottom"/>
            <w:tcBorders>
              <w:top w:val="single" w:sz="8" w:color="auto"/>
              <w:bottom w:val="single" w:sz="8" w:color="auto"/>
            </w:tcBorders>
            <w:gridSpan w:val="2"/>
            <w:vMerge w:val="restart"/>
          </w:tcPr>
          <w:p>
            <w:pPr>
              <w:spacing w:after="0" w:line="193" w:lineRule="exact"/>
              <w:rPr>
                <w:sz w:val="20"/>
                <w:szCs w:val="20"/>
                <w:color w:val="auto"/>
              </w:rPr>
            </w:pPr>
            <w:r>
              <w:rPr>
                <w:rFonts w:ascii="Arial" w:cs="Arial" w:eastAsia="Arial" w:hAnsi="Arial"/>
                <w:sz w:val="17"/>
                <w:szCs w:val="17"/>
                <w:color w:val="0000FF"/>
              </w:rPr>
              <w:t>of Attorney</w:t>
            </w:r>
          </w:p>
        </w:tc>
        <w:tc>
          <w:tcPr>
            <w:tcW w:w="24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60" w:type="dxa"/>
            <w:vAlign w:val="bottom"/>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800" w:type="dxa"/>
            <w:vAlign w:val="bottom"/>
            <w:shd w:val="clear" w:color="auto" w:fill="000000"/>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820" w:firstLine="6"/>
        <w:spacing w:after="0" w:line="318"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1440" w:gutter="0" w:footer="0" w:header="0"/>
          <w:type w:val="continuous"/>
        </w:sectPr>
      </w:pPr>
    </w:p>
    <w:bookmarkStart w:id="1" w:name="page2"/>
    <w:bookmarkEnd w:id="1"/>
    <w:p>
      <w:pPr>
        <w:ind w:right="4419"/>
        <w:spacing w:after="0" w:line="248"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Brian Palmer, Chief Accounting Officer, Dennis P. Beaulieu, Secretary, and Robert L. Seelig, General Counsel of White Mountains Insurance Group, Ltd., signing singly, the undersigned's true and lawful attorney-in-fact to:</w:t>
      </w:r>
    </w:p>
    <w:p>
      <w:pPr>
        <w:spacing w:after="0" w:line="1" w:lineRule="exact"/>
        <w:rPr>
          <w:sz w:val="20"/>
          <w:szCs w:val="20"/>
          <w:color w:val="auto"/>
        </w:rPr>
      </w:pPr>
    </w:p>
    <w:p>
      <w:pPr>
        <w:ind w:right="3899" w:firstLine="6"/>
        <w:spacing w:after="0" w:line="248" w:lineRule="auto"/>
        <w:tabs>
          <w:tab w:leader="none" w:pos="414"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ind w:right="3799" w:firstLine="6"/>
        <w:spacing w:after="0" w:line="248" w:lineRule="auto"/>
        <w:tabs>
          <w:tab w:leader="none" w:pos="414"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ind w:right="33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ind w:right="32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ind w:right="33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 w:lineRule="exact"/>
        <w:rPr>
          <w:rFonts w:ascii="Courier New" w:cs="Courier New" w:eastAsia="Courier New" w:hAnsi="Courier New"/>
          <w:sz w:val="17"/>
          <w:szCs w:val="17"/>
          <w:color w:val="auto"/>
        </w:rPr>
      </w:pPr>
    </w:p>
    <w:p>
      <w:pPr>
        <w:ind w:right="35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ind w:right="32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399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ind w:right="493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28th day of April, 2003.</w:t>
      </w:r>
    </w:p>
    <w:p>
      <w:pPr>
        <w:spacing w:after="0" w:line="206"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/s/</w:t>
        <w:tab/>
        <w:t>John D. Gillespie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1372"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2019-12-17T11:23:15Z</dcterms:created>
  <dcterms:modified xsi:type="dcterms:W3CDTF">2019-12-17T11:23:15Z</dcterms:modified>
</cp:coreProperties>
</file>