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625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255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52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04/04/2016</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52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17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960" w:type="dxa"/>
            <w:vAlign w:val="bottom"/>
            <w:gridSpan w:val="2"/>
          </w:tcPr>
          <w:p>
            <w:pPr>
              <w:ind w:left="940"/>
              <w:spacing w:after="0"/>
              <w:rPr>
                <w:sz w:val="20"/>
                <w:szCs w:val="20"/>
                <w:color w:val="auto"/>
              </w:rPr>
            </w:pPr>
            <w:r>
              <w:rPr>
                <w:rFonts w:ascii="Arial" w:cs="Arial" w:eastAsia="Arial" w:hAnsi="Arial"/>
                <w:sz w:val="17"/>
                <w:szCs w:val="17"/>
                <w:color w:val="0000FF"/>
              </w:rPr>
              <w:t>04/04/2016</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ind w:left="140"/>
              <w:spacing w:after="0"/>
              <w:rPr>
                <w:sz w:val="20"/>
                <w:szCs w:val="20"/>
                <w:color w:val="auto"/>
              </w:rPr>
            </w:pPr>
            <w:r>
              <w:rPr>
                <w:rFonts w:ascii="Arial" w:cs="Arial" w:eastAsia="Arial" w:hAnsi="Arial"/>
                <w:sz w:val="13"/>
                <w:szCs w:val="13"/>
                <w:color w:val="0000FF"/>
              </w:rPr>
              <w:t>G</w:t>
            </w:r>
          </w:p>
        </w:tc>
        <w:tc>
          <w:tcPr>
            <w:tcW w:w="380" w:type="dxa"/>
            <w:vAlign w:val="bottom"/>
          </w:tcPr>
          <w:p>
            <w:pPr>
              <w:spacing w:after="0"/>
              <w:rPr>
                <w:sz w:val="18"/>
                <w:szCs w:val="18"/>
                <w:color w:val="auto"/>
              </w:rPr>
            </w:pPr>
          </w:p>
        </w:tc>
        <w:tc>
          <w:tcPr>
            <w:tcW w:w="800" w:type="dxa"/>
            <w:vAlign w:val="bottom"/>
            <w:gridSpan w:val="2"/>
          </w:tcPr>
          <w:p>
            <w:pPr>
              <w:jc w:val="right"/>
              <w:ind w:right="178"/>
              <w:spacing w:after="0"/>
              <w:rPr>
                <w:sz w:val="20"/>
                <w:szCs w:val="20"/>
                <w:color w:val="auto"/>
              </w:rPr>
            </w:pPr>
            <w:r>
              <w:rPr>
                <w:rFonts w:ascii="Arial" w:cs="Arial" w:eastAsia="Arial" w:hAnsi="Arial"/>
                <w:sz w:val="17"/>
                <w:szCs w:val="17"/>
                <w:color w:val="0000FF"/>
              </w:rPr>
              <w:t>2,035</w:t>
            </w:r>
          </w:p>
        </w:tc>
        <w:tc>
          <w:tcPr>
            <w:tcW w:w="320" w:type="dxa"/>
            <w:vAlign w:val="bottom"/>
          </w:tcPr>
          <w:p>
            <w:pPr>
              <w:ind w:left="1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gridSpan w:val="3"/>
          </w:tcPr>
          <w:p>
            <w:pPr>
              <w:jc w:val="center"/>
              <w:ind w:left="25"/>
              <w:spacing w:after="0" w:line="214" w:lineRule="exact"/>
              <w:rPr>
                <w:sz w:val="20"/>
                <w:szCs w:val="20"/>
                <w:color w:val="auto"/>
              </w:rPr>
            </w:pPr>
            <w:r>
              <w:rPr>
                <w:rFonts w:ascii="Arial" w:cs="Arial" w:eastAsia="Arial" w:hAnsi="Arial"/>
                <w:sz w:val="17"/>
                <w:szCs w:val="17"/>
                <w:color w:val="0000FF"/>
                <w:w w:val="88"/>
              </w:rPr>
              <w:t>14,778</w:t>
            </w:r>
            <w:r>
              <w:rPr>
                <w:rFonts w:ascii="Arial" w:cs="Arial" w:eastAsia="Arial" w:hAnsi="Arial"/>
                <w:sz w:val="22"/>
                <w:szCs w:val="22"/>
                <w:color w:val="008000"/>
                <w:w w:val="88"/>
                <w:vertAlign w:val="superscript"/>
              </w:rPr>
              <w:t>(1)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04/26/2016</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98"/>
              <w:spacing w:after="0"/>
              <w:rPr>
                <w:sz w:val="20"/>
                <w:szCs w:val="20"/>
                <w:color w:val="auto"/>
              </w:rPr>
            </w:pPr>
            <w:r>
              <w:rPr>
                <w:rFonts w:ascii="Arial" w:cs="Arial" w:eastAsia="Arial" w:hAnsi="Arial"/>
                <w:sz w:val="17"/>
                <w:szCs w:val="17"/>
                <w:color w:val="0000FF"/>
                <w:w w:val="99"/>
              </w:rPr>
              <w:t>5,000</w:t>
            </w:r>
            <w:r>
              <w:rPr>
                <w:rFonts w:ascii="Arial" w:cs="Arial" w:eastAsia="Arial" w:hAnsi="Arial"/>
                <w:sz w:val="22"/>
                <w:szCs w:val="22"/>
                <w:color w:val="008000"/>
                <w:w w:val="99"/>
                <w:vertAlign w:val="superscript"/>
              </w:rPr>
              <w:t>(2)</w:t>
            </w:r>
          </w:p>
        </w:tc>
        <w:tc>
          <w:tcPr>
            <w:tcW w:w="3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ind w:right="32"/>
              <w:spacing w:after="0"/>
              <w:rPr>
                <w:sz w:val="20"/>
                <w:szCs w:val="20"/>
                <w:color w:val="auto"/>
              </w:rPr>
            </w:pPr>
            <w:r>
              <w:rPr>
                <w:rFonts w:ascii="Arial" w:cs="Arial" w:eastAsia="Arial" w:hAnsi="Arial"/>
                <w:sz w:val="11"/>
                <w:szCs w:val="11"/>
                <w:color w:val="008000"/>
              </w:rPr>
              <w:t>(2)</w:t>
            </w:r>
          </w:p>
        </w:tc>
        <w:tc>
          <w:tcPr>
            <w:tcW w:w="1400" w:type="dxa"/>
            <w:vAlign w:val="bottom"/>
            <w:tcBorders>
              <w:bottom w:val="single" w:sz="8" w:color="2C2C2C"/>
            </w:tcBorders>
            <w:gridSpan w:val="3"/>
          </w:tcPr>
          <w:p>
            <w:pPr>
              <w:jc w:val="center"/>
              <w:ind w:left="25"/>
              <w:spacing w:after="0"/>
              <w:rPr>
                <w:sz w:val="20"/>
                <w:szCs w:val="20"/>
                <w:color w:val="auto"/>
              </w:rPr>
            </w:pPr>
            <w:r>
              <w:rPr>
                <w:rFonts w:ascii="Arial" w:cs="Arial" w:eastAsia="Arial" w:hAnsi="Arial"/>
                <w:sz w:val="17"/>
                <w:szCs w:val="17"/>
                <w:color w:val="0000FF"/>
                <w:w w:val="84"/>
              </w:rPr>
              <w:t>26,352</w:t>
            </w:r>
            <w:r>
              <w:rPr>
                <w:rFonts w:ascii="Arial" w:cs="Arial" w:eastAsia="Arial" w:hAnsi="Arial"/>
                <w:sz w:val="22"/>
                <w:szCs w:val="22"/>
                <w:color w:val="008000"/>
                <w:w w:val="84"/>
                <w:vertAlign w:val="superscript"/>
              </w:rPr>
              <w:t>(1)(3)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gridSpan w:val="3"/>
          </w:tcPr>
          <w:p>
            <w:pPr>
              <w:jc w:val="center"/>
              <w:ind w:left="25"/>
              <w:spacing w:after="0"/>
              <w:rPr>
                <w:sz w:val="20"/>
                <w:szCs w:val="20"/>
                <w:color w:val="auto"/>
              </w:rPr>
            </w:pPr>
            <w:r>
              <w:rPr>
                <w:rFonts w:ascii="Arial" w:cs="Arial" w:eastAsia="Arial" w:hAnsi="Arial"/>
                <w:sz w:val="17"/>
                <w:szCs w:val="17"/>
                <w:color w:val="0000FF"/>
                <w:w w:val="89"/>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gridSpan w:val="3"/>
          </w:tcPr>
          <w:p>
            <w:pPr>
              <w:jc w:val="center"/>
              <w:ind w:left="25"/>
              <w:spacing w:after="0"/>
              <w:rPr>
                <w:sz w:val="20"/>
                <w:szCs w:val="20"/>
                <w:color w:val="auto"/>
              </w:rPr>
            </w:pPr>
            <w:r>
              <w:rPr>
                <w:rFonts w:ascii="Arial" w:cs="Arial" w:eastAsia="Arial" w:hAnsi="Arial"/>
                <w:sz w:val="17"/>
                <w:szCs w:val="17"/>
                <w:color w:val="0000FF"/>
                <w:w w:val="89"/>
              </w:rPr>
              <w:t>6,106</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gridSpan w:val="3"/>
            <w:vMerge w:val="restart"/>
          </w:tcPr>
          <w:p>
            <w:pPr>
              <w:jc w:val="center"/>
              <w:ind w:left="25"/>
              <w:spacing w:after="0"/>
              <w:rPr>
                <w:sz w:val="20"/>
                <w:szCs w:val="20"/>
                <w:color w:val="auto"/>
              </w:rPr>
            </w:pPr>
            <w:r>
              <w:rPr>
                <w:rFonts w:ascii="Arial" w:cs="Arial" w:eastAsia="Arial" w:hAnsi="Arial"/>
                <w:sz w:val="17"/>
                <w:szCs w:val="17"/>
                <w:color w:val="0000FF"/>
                <w:w w:val="82"/>
              </w:rPr>
              <w:t>706</w:t>
            </w:r>
            <w:r>
              <w:rPr>
                <w:rFonts w:ascii="Arial" w:cs="Arial" w:eastAsia="Arial" w:hAnsi="Arial"/>
                <w:sz w:val="22"/>
                <w:szCs w:val="22"/>
                <w:color w:val="008000"/>
                <w:w w:val="82"/>
                <w:vertAlign w:val="superscript"/>
              </w:rPr>
              <w:t>(4)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2"/>
              </w:rPr>
              <w:t>Date</w:t>
            </w:r>
          </w:p>
        </w:tc>
        <w:tc>
          <w:tcPr>
            <w:tcW w:w="48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vMerge w:val="restart"/>
          </w:tcPr>
          <w:p>
            <w:pPr>
              <w:ind w:left="20"/>
              <w:spacing w:after="0"/>
              <w:rPr>
                <w:sz w:val="20"/>
                <w:szCs w:val="20"/>
                <w:color w:val="auto"/>
              </w:rPr>
            </w:pPr>
            <w:r>
              <w:rPr>
                <w:rFonts w:ascii="Arial" w:cs="Arial" w:eastAsia="Arial" w:hAnsi="Arial"/>
                <w:sz w:val="11"/>
                <w:szCs w:val="11"/>
                <w:color w:val="008000"/>
              </w:rPr>
              <w:t>(5)</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0000FF"/>
              </w:rPr>
              <w:t>125,000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60" w:type="dxa"/>
            <w:vAlign w:val="bottom"/>
            <w:gridSpan w:val="2"/>
          </w:tcPr>
          <w:p>
            <w:pPr>
              <w:ind w:left="120"/>
              <w:spacing w:after="0" w:line="132" w:lineRule="exact"/>
              <w:rPr>
                <w:sz w:val="20"/>
                <w:szCs w:val="20"/>
                <w:color w:val="auto"/>
              </w:rPr>
            </w:pPr>
            <w:r>
              <w:rPr>
                <w:rFonts w:ascii="Arial" w:cs="Arial" w:eastAsia="Arial" w:hAnsi="Arial"/>
                <w:sz w:val="13"/>
                <w:szCs w:val="13"/>
                <w:color w:val="0000FF"/>
              </w:rPr>
              <w:t>01/20/2017</w:t>
            </w:r>
          </w:p>
        </w:tc>
        <w:tc>
          <w:tcPr>
            <w:tcW w:w="6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125,000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ind w:left="80"/>
              <w:spacing w:after="0" w:line="148" w:lineRule="exact"/>
              <w:rPr>
                <w:sz w:val="20"/>
                <w:szCs w:val="20"/>
                <w:color w:val="auto"/>
              </w:rPr>
            </w:pPr>
            <w:r>
              <w:rPr>
                <w:rFonts w:ascii="Arial" w:cs="Arial" w:eastAsia="Arial" w:hAnsi="Arial"/>
                <w:sz w:val="13"/>
                <w:szCs w:val="13"/>
                <w:color w:val="0000FF"/>
              </w:rPr>
              <w:t>Shares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Total also reflects change in form of ownership from indirect (GRAT) to direct ownership of 5,162 Common Shares since the Reporting Person's last filed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Shares issued by the Company to the Reporting Person in settlement of performance share award.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held in accounts jointly owned by the Reporting Person and his spouse.</w:t>
      </w:r>
    </w:p>
    <w:p>
      <w:pPr>
        <w:spacing w:after="0" w:line="5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the date of the Reporting Person's last filing, he acquired 9 Common Shares under the company 401(k) plan. Under the plan, Common Shares are purchased at fair market value on the date of purchase. The information in this report is based on a plan statement dated as of April 13, 2016.</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of the options are fully vested and exerciseable.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04/26/2016</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524" w:gutter="0" w:footer="0" w:header="0"/>
          <w:type w:val="continuous"/>
        </w:sectPr>
      </w:pPr>
    </w:p>
    <w:bookmarkStart w:id="1" w:name="page2"/>
    <w:bookmarkEnd w:id="1"/>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2019-12-24T09:18:40Z</dcterms:created>
  <dcterms:modified xsi:type="dcterms:W3CDTF">2019-12-24T09:18:40Z</dcterms:modified>
</cp:coreProperties>
</file>