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685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68515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14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ind w:left="28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3100" w:type="dxa"/>
            <w:vAlign w:val="bottom"/>
            <w:gridSpan w:val="2"/>
            <w:vMerge w:val="restart"/>
          </w:tcPr>
          <w:p>
            <w:pPr>
              <w:spacing w:after="0"/>
              <w:rPr>
                <w:rFonts w:ascii="Times New Roman" w:cs="Times New Roman" w:eastAsia="Times New Roman" w:hAnsi="Times New Roman"/>
                <w:sz w:val="22"/>
                <w:szCs w:val="22"/>
                <w:color w:val="0000EE"/>
                <w:w w:val="97"/>
              </w:rPr>
            </w:pPr>
            <w:hyperlink r:id="rId11">
              <w:r>
                <w:rPr>
                  <w:rFonts w:ascii="Times New Roman" w:cs="Times New Roman" w:eastAsia="Times New Roman" w:hAnsi="Times New Roman"/>
                  <w:sz w:val="22"/>
                  <w:szCs w:val="22"/>
                  <w:color w:val="0000EE"/>
                  <w:w w:val="97"/>
                </w:rPr>
                <w:t>BARRETTE RAYMOND JOSEPH</w:t>
              </w:r>
            </w:hyperlink>
          </w:p>
        </w:tc>
        <w:tc>
          <w:tcPr>
            <w:tcW w:w="1500" w:type="dxa"/>
            <w:vAlign w:val="bottom"/>
          </w:tcPr>
          <w:p>
            <w:pPr>
              <w:ind w:left="28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100" w:type="dxa"/>
            <w:vAlign w:val="bottom"/>
            <w:tcBorders>
              <w:bottom w:val="single" w:sz="8" w:color="0000EE"/>
            </w:tcBorders>
            <w:gridSpan w:val="2"/>
            <w:vMerge w:val="continue"/>
          </w:tcPr>
          <w:p>
            <w:pPr>
              <w:spacing w:after="0"/>
              <w:rPr>
                <w:sz w:val="13"/>
                <w:szCs w:val="13"/>
                <w:color w:val="auto"/>
              </w:rPr>
            </w:pPr>
          </w:p>
        </w:tc>
        <w:tc>
          <w:tcPr>
            <w:tcW w:w="1500" w:type="dxa"/>
            <w:vAlign w:val="bottom"/>
          </w:tcPr>
          <w:p>
            <w:pPr>
              <w:ind w:left="28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80" w:type="dxa"/>
            <w:vAlign w:val="bottom"/>
            <w:tcBorders>
              <w:bottom w:val="single" w:sz="8" w:color="0000EE"/>
            </w:tcBorders>
          </w:tcPr>
          <w:p>
            <w:pPr>
              <w:spacing w:after="0" w:line="223" w:lineRule="exact"/>
              <w:rPr>
                <w:rFonts w:ascii="Times New Roman" w:cs="Times New Roman" w:eastAsia="Times New Roman" w:hAnsi="Times New Roman"/>
                <w:sz w:val="22"/>
                <w:szCs w:val="22"/>
                <w:color w:val="0000EE"/>
                <w:w w:val="97"/>
              </w:rPr>
            </w:pPr>
            <w:hyperlink r:id="rId11">
              <w:r>
                <w:rPr>
                  <w:rFonts w:ascii="Times New Roman" w:cs="Times New Roman" w:eastAsia="Times New Roman" w:hAnsi="Times New Roman"/>
                  <w:sz w:val="22"/>
                  <w:szCs w:val="22"/>
                  <w:color w:val="0000EE"/>
                  <w:w w:val="97"/>
                </w:rPr>
                <w:t>RENE</w:t>
              </w:r>
            </w:hyperlink>
          </w:p>
        </w:tc>
        <w:tc>
          <w:tcPr>
            <w:tcW w:w="2520" w:type="dxa"/>
            <w:vAlign w:val="bottom"/>
          </w:tcPr>
          <w:p>
            <w:pPr>
              <w:spacing w:after="0"/>
              <w:rPr>
                <w:sz w:val="19"/>
                <w:szCs w:val="19"/>
                <w:color w:val="auto"/>
              </w:rPr>
            </w:pPr>
          </w:p>
        </w:tc>
        <w:tc>
          <w:tcPr>
            <w:tcW w:w="15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08/03/2006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WHITE MOUNTAINS INSURANCE GROUP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WTM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447" w:lineRule="exact"/>
        <w:rPr>
          <w:sz w:val="20"/>
          <w:szCs w:val="20"/>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189"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0"/>
          <w:szCs w:val="20"/>
          <w:color w:val="auto"/>
        </w:rPr>
      </w:pPr>
    </w:p>
    <w:p>
      <w:pPr>
        <w:ind w:left="120" w:right="1314"/>
        <w:spacing w:after="0" w:line="275" w:lineRule="auto"/>
        <w:rPr>
          <w:sz w:val="20"/>
          <w:szCs w:val="20"/>
          <w:color w:val="auto"/>
        </w:rPr>
      </w:pPr>
      <w:r>
        <w:rPr>
          <w:rFonts w:ascii="Times New Roman" w:cs="Times New Roman" w:eastAsia="Times New Roman" w:hAnsi="Times New Roman"/>
          <w:sz w:val="18"/>
          <w:szCs w:val="18"/>
          <w:color w:val="0000FF"/>
        </w:rPr>
        <w:t>C/O WHITE MOUNTAINS INSURANCE GROUP, LTD</w:t>
      </w:r>
    </w:p>
    <w:p>
      <w:pPr>
        <w:spacing w:after="0" w:line="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80 SOUTH MAIN STREET</w:t>
      </w:r>
    </w:p>
    <w:p>
      <w:pPr>
        <w:spacing w:after="0" w:line="290"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5"/>
                <w:szCs w:val="15"/>
                <w:color w:val="auto"/>
              </w:rPr>
            </w:pPr>
          </w:p>
        </w:tc>
      </w:tr>
      <w:tr>
        <w:trPr>
          <w:trHeight w:val="240"/>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HANOVER   NH</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03755</w:t>
            </w:r>
          </w:p>
        </w:tc>
      </w:tr>
    </w:tbl>
    <w:p>
      <w:pPr>
        <w:spacing w:after="0" w:line="20" w:lineRule="exact"/>
        <w:rPr>
          <w:sz w:val="20"/>
          <w:szCs w:val="20"/>
          <w:color w:val="auto"/>
        </w:rPr>
      </w:pPr>
      <w:r>
        <w:rPr>
          <w:sz w:val="20"/>
          <w:szCs w:val="20"/>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0"/>
          <w:szCs w:val="20"/>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0"/>
          <w:szCs w:val="20"/>
          <w:color w:val="auto"/>
        </w:rPr>
      </w:pPr>
      <w:r>
        <w:rPr>
          <w:sz w:val="20"/>
          <w:szCs w:val="20"/>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66"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0"/>
          <w:szCs w:val="20"/>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378" w:lineRule="exact"/>
        <w:rPr>
          <w:sz w:val="20"/>
          <w:szCs w:val="20"/>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109"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5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3500" w:type="dxa"/>
            <w:vAlign w:val="bottom"/>
          </w:tcPr>
          <w:p>
            <w:pPr>
              <w:jc w:val="center"/>
              <w:ind w:left="1532"/>
              <w:spacing w:after="0"/>
              <w:rPr>
                <w:sz w:val="20"/>
                <w:szCs w:val="20"/>
                <w:color w:val="auto"/>
              </w:rPr>
            </w:pPr>
            <w:r>
              <w:rPr>
                <w:rFonts w:ascii="Times New Roman" w:cs="Times New Roman" w:eastAsia="Times New Roman" w:hAnsi="Times New Roman"/>
                <w:sz w:val="18"/>
                <w:szCs w:val="18"/>
                <w:color w:val="0000FF"/>
                <w:w w:val="96"/>
              </w:rPr>
              <w:t>10,834</w:t>
            </w:r>
          </w:p>
        </w:tc>
        <w:tc>
          <w:tcPr>
            <w:tcW w:w="114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0000FF"/>
              </w:rPr>
              <w:t>D</w:t>
            </w: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5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3500" w:type="dxa"/>
            <w:vAlign w:val="bottom"/>
          </w:tcPr>
          <w:p>
            <w:pPr>
              <w:jc w:val="center"/>
              <w:ind w:left="1532"/>
              <w:spacing w:after="0"/>
              <w:rPr>
                <w:sz w:val="20"/>
                <w:szCs w:val="20"/>
                <w:color w:val="auto"/>
              </w:rPr>
            </w:pPr>
            <w:r>
              <w:rPr>
                <w:rFonts w:ascii="Times New Roman" w:cs="Times New Roman" w:eastAsia="Times New Roman" w:hAnsi="Times New Roman"/>
                <w:sz w:val="18"/>
                <w:szCs w:val="18"/>
                <w:color w:val="0000FF"/>
                <w:w w:val="98"/>
              </w:rPr>
              <w:t>4,615</w:t>
            </w:r>
          </w:p>
        </w:tc>
        <w:tc>
          <w:tcPr>
            <w:tcW w:w="114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0000FF"/>
                <w:w w:val="99"/>
              </w:rPr>
              <w:t>I</w:t>
            </w:r>
          </w:p>
        </w:tc>
        <w:tc>
          <w:tcPr>
            <w:tcW w:w="320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By wife</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5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3500" w:type="dxa"/>
            <w:vAlign w:val="bottom"/>
          </w:tcPr>
          <w:p>
            <w:pPr>
              <w:jc w:val="center"/>
              <w:ind w:left="1532"/>
              <w:spacing w:after="0"/>
              <w:rPr>
                <w:sz w:val="20"/>
                <w:szCs w:val="20"/>
                <w:color w:val="auto"/>
              </w:rPr>
            </w:pPr>
            <w:r>
              <w:rPr>
                <w:rFonts w:ascii="Times New Roman" w:cs="Times New Roman" w:eastAsia="Times New Roman" w:hAnsi="Times New Roman"/>
                <w:sz w:val="18"/>
                <w:szCs w:val="18"/>
                <w:color w:val="0000FF"/>
              </w:rPr>
              <w:t>100</w:t>
            </w:r>
          </w:p>
        </w:tc>
        <w:tc>
          <w:tcPr>
            <w:tcW w:w="114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0000FF"/>
                <w:w w:val="99"/>
              </w:rPr>
              <w:t>I</w:t>
            </w:r>
          </w:p>
        </w:tc>
        <w:tc>
          <w:tcPr>
            <w:tcW w:w="320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By son</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5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3500" w:type="dxa"/>
            <w:vAlign w:val="bottom"/>
          </w:tcPr>
          <w:p>
            <w:pPr>
              <w:jc w:val="center"/>
              <w:ind w:left="1532"/>
              <w:spacing w:after="0"/>
              <w:rPr>
                <w:sz w:val="20"/>
                <w:szCs w:val="20"/>
                <w:color w:val="auto"/>
              </w:rPr>
            </w:pPr>
            <w:r>
              <w:rPr>
                <w:rFonts w:ascii="Times New Roman" w:cs="Times New Roman" w:eastAsia="Times New Roman" w:hAnsi="Times New Roman"/>
                <w:sz w:val="18"/>
                <w:szCs w:val="18"/>
                <w:color w:val="0000FF"/>
                <w:w w:val="98"/>
              </w:rPr>
              <w:t>5,000</w:t>
            </w:r>
          </w:p>
        </w:tc>
        <w:tc>
          <w:tcPr>
            <w:tcW w:w="114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0000FF"/>
                <w:w w:val="99"/>
              </w:rPr>
              <w:t>I</w:t>
            </w:r>
          </w:p>
        </w:tc>
        <w:tc>
          <w:tcPr>
            <w:tcW w:w="320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By Grantor Retained Annuity Trust</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5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3500" w:type="dxa"/>
            <w:vAlign w:val="bottom"/>
          </w:tcPr>
          <w:p>
            <w:pPr>
              <w:jc w:val="center"/>
              <w:ind w:left="1532"/>
              <w:spacing w:after="0"/>
              <w:rPr>
                <w:sz w:val="20"/>
                <w:szCs w:val="20"/>
                <w:color w:val="auto"/>
              </w:rPr>
            </w:pPr>
            <w:r>
              <w:rPr>
                <w:rFonts w:ascii="Times New Roman" w:cs="Times New Roman" w:eastAsia="Times New Roman" w:hAnsi="Times New Roman"/>
                <w:sz w:val="18"/>
                <w:szCs w:val="18"/>
                <w:color w:val="0000FF"/>
                <w:w w:val="98"/>
              </w:rPr>
              <w:t>4,230</w:t>
            </w:r>
          </w:p>
        </w:tc>
        <w:tc>
          <w:tcPr>
            <w:tcW w:w="114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0000FF"/>
                <w:w w:val="99"/>
              </w:rPr>
              <w:t>I</w:t>
            </w:r>
          </w:p>
        </w:tc>
        <w:tc>
          <w:tcPr>
            <w:tcW w:w="320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By IRA</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5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3500" w:type="dxa"/>
            <w:vAlign w:val="bottom"/>
          </w:tcPr>
          <w:p>
            <w:pPr>
              <w:jc w:val="center"/>
              <w:ind w:left="1532"/>
              <w:spacing w:after="0"/>
              <w:rPr>
                <w:sz w:val="20"/>
                <w:szCs w:val="20"/>
                <w:color w:val="auto"/>
              </w:rPr>
            </w:pPr>
            <w:r>
              <w:rPr>
                <w:rFonts w:ascii="Times New Roman" w:cs="Times New Roman" w:eastAsia="Times New Roman" w:hAnsi="Times New Roman"/>
                <w:sz w:val="18"/>
                <w:szCs w:val="18"/>
                <w:color w:val="0000FF"/>
                <w:w w:val="88"/>
              </w:rPr>
              <w:t>13</w:t>
            </w:r>
          </w:p>
        </w:tc>
        <w:tc>
          <w:tcPr>
            <w:tcW w:w="114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0000FF"/>
                <w:w w:val="99"/>
              </w:rPr>
              <w:t>I</w:t>
            </w:r>
          </w:p>
        </w:tc>
        <w:tc>
          <w:tcPr>
            <w:tcW w:w="320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By 401(k)</w:t>
            </w:r>
          </w:p>
        </w:tc>
        <w:tc>
          <w:tcPr>
            <w:tcW w:w="20" w:type="dxa"/>
            <w:vAlign w:val="bottom"/>
          </w:tcPr>
          <w:p>
            <w:pPr>
              <w:spacing w:after="0"/>
              <w:rPr>
                <w:sz w:val="23"/>
                <w:szCs w:val="23"/>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3540" w:type="dxa"/>
            <w:vAlign w:val="bottom"/>
            <w:tcBorders>
              <w:bottom w:val="single" w:sz="8" w:color="2C2C2C"/>
            </w:tcBorders>
          </w:tcPr>
          <w:p>
            <w:pPr>
              <w:spacing w:after="0"/>
              <w:rPr>
                <w:sz w:val="7"/>
                <w:szCs w:val="7"/>
                <w:color w:val="auto"/>
              </w:rPr>
            </w:pPr>
          </w:p>
        </w:tc>
        <w:tc>
          <w:tcPr>
            <w:tcW w:w="35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3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540" w:type="dxa"/>
            <w:vAlign w:val="bottom"/>
            <w:tcBorders>
              <w:top w:val="single" w:sz="8" w:color="808080"/>
            </w:tcBorders>
            <w:shd w:val="clear" w:color="auto" w:fill="2C2C2C"/>
          </w:tcPr>
          <w:p>
            <w:pPr>
              <w:spacing w:after="0" w:line="20" w:lineRule="exact"/>
              <w:rPr>
                <w:sz w:val="1"/>
                <w:szCs w:val="1"/>
                <w:color w:val="auto"/>
              </w:rPr>
            </w:pPr>
          </w:p>
        </w:tc>
        <w:tc>
          <w:tcPr>
            <w:tcW w:w="35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6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Expiration</w:t>
            </w:r>
          </w:p>
        </w:tc>
        <w:tc>
          <w:tcPr>
            <w:tcW w:w="1880" w:type="dxa"/>
            <w:vAlign w:val="bottom"/>
          </w:tcPr>
          <w:p>
            <w:pPr>
              <w:spacing w:after="0"/>
              <w:rPr>
                <w:sz w:val="12"/>
                <w:szCs w:val="12"/>
                <w:color w:val="auto"/>
              </w:rPr>
            </w:pPr>
          </w:p>
        </w:tc>
        <w:tc>
          <w:tcPr>
            <w:tcW w:w="860" w:type="dxa"/>
            <w:vAlign w:val="bottom"/>
          </w:tcPr>
          <w:p>
            <w:pPr>
              <w:ind w:left="24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86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80" w:type="dxa"/>
            <w:vAlign w:val="bottom"/>
            <w:vMerge w:val="continue"/>
          </w:tcPr>
          <w:p>
            <w:pPr>
              <w:spacing w:after="0"/>
              <w:rPr>
                <w:sz w:val="16"/>
                <w:szCs w:val="16"/>
                <w:color w:val="auto"/>
              </w:rPr>
            </w:pPr>
          </w:p>
        </w:tc>
        <w:tc>
          <w:tcPr>
            <w:tcW w:w="860" w:type="dxa"/>
            <w:vAlign w:val="bottom"/>
          </w:tcPr>
          <w:p>
            <w:pPr>
              <w:ind w:left="2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Phantom Shares (Deferred Compensation)</w:t>
            </w:r>
          </w:p>
        </w:tc>
        <w:tc>
          <w:tcPr>
            <w:tcW w:w="9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800" w:type="dxa"/>
            <w:vAlign w:val="bottom"/>
          </w:tcPr>
          <w:p>
            <w:pPr>
              <w:jc w:val="right"/>
              <w:ind w:right="276"/>
              <w:spacing w:after="0"/>
              <w:rPr>
                <w:sz w:val="20"/>
                <w:szCs w:val="20"/>
                <w:color w:val="auto"/>
              </w:rPr>
            </w:pPr>
            <w:r>
              <w:rPr>
                <w:rFonts w:ascii="Times New Roman" w:cs="Times New Roman" w:eastAsia="Times New Roman" w:hAnsi="Times New Roman"/>
                <w:sz w:val="11"/>
                <w:szCs w:val="11"/>
                <w:color w:val="008000"/>
              </w:rPr>
              <w:t>(1)</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Common Shares</w:t>
            </w: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24,504</w:t>
            </w:r>
          </w:p>
        </w:tc>
        <w:tc>
          <w:tcPr>
            <w:tcW w:w="8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(2)</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0" w:right="100" w:firstLine="9"/>
        <w:spacing w:after="0" w:line="241"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Phantom Shares are payable, as a result of the Reporting Person's separation of employment from WTM, in cash or in Common Shares, in ten equal installments that commenced in 2006. Final payment is due in 2015.</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Phantom Shares are convertible into Common Shares of a 1 for 1 basis.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00"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Dennis Beaulieu, By Power of</w:t>
            </w:r>
          </w:p>
        </w:tc>
        <w:tc>
          <w:tcPr>
            <w:tcW w:w="80" w:type="dxa"/>
            <w:vAlign w:val="bottom"/>
          </w:tcPr>
          <w:p>
            <w:pPr>
              <w:spacing w:after="0"/>
              <w:rPr>
                <w:sz w:val="19"/>
                <w:szCs w:val="1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0000FF"/>
                <w:w w:val="92"/>
              </w:rPr>
              <w:t>08/11/2006</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Attorney</w:t>
            </w:r>
          </w:p>
        </w:tc>
        <w:tc>
          <w:tcPr>
            <w:tcW w:w="158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ind w:right="3779"/>
        <w:spacing w:after="0" w:line="24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of White Mountains Capital, Inc., signing singly, the undersigned's true and lawful attorney-in-fact to:</w:t>
      </w:r>
    </w:p>
    <w:p>
      <w:pPr>
        <w:spacing w:after="0" w:line="5" w:lineRule="exact"/>
        <w:rPr>
          <w:sz w:val="20"/>
          <w:szCs w:val="20"/>
          <w:color w:val="auto"/>
        </w:rPr>
      </w:pPr>
    </w:p>
    <w:p>
      <w:pPr>
        <w:ind w:right="3779" w:firstLine="8"/>
        <w:spacing w:after="0" w:line="238"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8"/>
          <w:szCs w:val="18"/>
          <w:color w:val="auto"/>
        </w:rPr>
      </w:pPr>
    </w:p>
    <w:p>
      <w:pPr>
        <w:ind w:right="3679" w:firstLine="8"/>
        <w:spacing w:after="0" w:line="238"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ind w:right="32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rFonts w:ascii="Courier New" w:cs="Courier New" w:eastAsia="Courier New" w:hAnsi="Courier New"/>
          <w:sz w:val="18"/>
          <w:szCs w:val="18"/>
          <w:color w:val="auto"/>
        </w:rPr>
      </w:pPr>
    </w:p>
    <w:p>
      <w:pPr>
        <w:ind w:right="31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21st day of July, 2006.</w:t>
      </w:r>
    </w:p>
    <w:p>
      <w:pPr>
        <w:spacing w:after="0" w:line="16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Raymond Barrette</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81360" TargetMode="External"/><Relationship Id="rId12"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2019-12-17T11:15:29Z</dcterms:created>
  <dcterms:modified xsi:type="dcterms:W3CDTF">2019-12-17T11:15:29Z</dcterms:modified>
</cp:coreProperties>
</file>