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04/10/2019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04/10/2019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spacing w:after="0" w:line="216" w:lineRule="exact"/>
              <w:rPr>
                <w:sz w:val="20"/>
                <w:szCs w:val="20"/>
                <w:color w:val="auto"/>
              </w:rPr>
            </w:pPr>
            <w:r>
              <w:rPr>
                <w:rFonts w:ascii="Arial" w:cs="Arial" w:eastAsia="Arial" w:hAnsi="Arial"/>
                <w:sz w:val="25"/>
                <w:szCs w:val="25"/>
                <w:color w:val="0000FF"/>
                <w:vertAlign w:val="subscript"/>
              </w:rPr>
              <w:t>412</w:t>
            </w:r>
            <w:r>
              <w:rPr>
                <w:rFonts w:ascii="Arial" w:cs="Arial" w:eastAsia="Arial" w:hAnsi="Arial"/>
                <w:sz w:val="10"/>
                <w:szCs w:val="10"/>
                <w:color w:val="008000"/>
              </w:rPr>
              <w:t>(1)</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914.99</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5,189</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04/12/2019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57"/>
              <w:spacing w:after="0"/>
              <w:rPr>
                <w:sz w:val="20"/>
                <w:szCs w:val="20"/>
                <w:color w:val="auto"/>
              </w:rPr>
            </w:pPr>
            <w:r>
              <w:rPr>
                <w:rFonts w:ascii="Arial" w:cs="Arial" w:eastAsia="Arial" w:hAnsi="Arial"/>
                <w:sz w:val="18"/>
                <w:szCs w:val="18"/>
                <w:color w:val="0000FF"/>
              </w:rPr>
              <w:t>585</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916.95</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4,604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6,639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sales reported in this Form 4 were effected pursuant to a Rule 10b5-1 trading plan adopted by the Davis Family Trust on March 6, 2019.</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04/12/2019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2019-12-24T09:19:27Z</dcterms:created>
  <dcterms:modified xsi:type="dcterms:W3CDTF">2019-12-24T09:19:27Z</dcterms:modified>
</cp:coreProperties>
</file>