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5</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5</w:t>
      </w:r>
    </w:p>
    <w:p>
      <w:pPr>
        <w:spacing w:after="0" w:line="168"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69850</wp:posOffset>
            </wp:positionV>
            <wp:extent cx="135255" cy="135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128"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107950</wp:posOffset>
            </wp:positionV>
            <wp:extent cx="135255" cy="135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188" w:lineRule="exact"/>
        <w:rPr>
          <w:sz w:val="24"/>
          <w:szCs w:val="24"/>
          <w:color w:val="auto"/>
        </w:rPr>
      </w:pPr>
    </w:p>
    <w:p>
      <w:pPr>
        <w:ind w:left="380"/>
        <w:spacing w:after="0"/>
        <w:rPr>
          <w:sz w:val="20"/>
          <w:szCs w:val="20"/>
          <w:color w:val="auto"/>
        </w:rPr>
      </w:pPr>
      <w:r>
        <w:rPr>
          <w:rFonts w:ascii="Arial" w:cs="Arial" w:eastAsia="Arial" w:hAnsi="Arial"/>
          <w:sz w:val="12"/>
          <w:szCs w:val="12"/>
          <w:color w:val="auto"/>
        </w:rPr>
        <w:t>Form 4 Transactions Reported.</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0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2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04"/>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vMerge w:val="restart"/>
          </w:tcPr>
          <w:p>
            <w:pPr>
              <w:jc w:val="center"/>
              <w:ind w:right="204"/>
              <w:spacing w:after="0"/>
              <w:rPr>
                <w:sz w:val="20"/>
                <w:szCs w:val="20"/>
                <w:color w:val="auto"/>
              </w:rPr>
            </w:pPr>
            <w:r>
              <w:rPr>
                <w:rFonts w:ascii="Arial" w:cs="Arial" w:eastAsia="Arial" w:hAnsi="Arial"/>
                <w:sz w:val="21"/>
                <w:szCs w:val="21"/>
                <w:b w:val="1"/>
                <w:bCs w:val="1"/>
                <w:color w:val="auto"/>
              </w:rPr>
              <w:t>OWNERSHIP</w:t>
            </w: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spacing w:after="0" w:line="82" w:lineRule="exact"/>
        <w:rPr>
          <w:sz w:val="24"/>
          <w:szCs w:val="24"/>
          <w:color w:val="auto"/>
        </w:rPr>
      </w:pPr>
    </w:p>
    <w:p>
      <w:pPr>
        <w:jc w:val="center"/>
        <w:ind w:right="2600"/>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right="26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6489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4090" cy="64890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BARRETTE RAYMOND JOSEPH RENE</w:t>
        </w:r>
      </w:hyperlink>
    </w:p>
    <w:p>
      <w:pPr>
        <w:spacing w:after="0" w:line="331"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291" w:lineRule="auto"/>
        <w:rPr>
          <w:sz w:val="20"/>
          <w:szCs w:val="20"/>
          <w:color w:val="auto"/>
        </w:rPr>
      </w:pPr>
      <w:r>
        <w:rPr>
          <w:rFonts w:ascii="Arial" w:cs="Arial" w:eastAsia="Arial" w:hAnsi="Arial"/>
          <w:sz w:val="17"/>
          <w:szCs w:val="17"/>
          <w:color w:val="0000FF"/>
        </w:rPr>
        <w:t>C/O WHITE MOUNTAINS INSURANCE GROUP, LTD</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4"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0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900" w:type="dxa"/>
            <w:vAlign w:val="bottom"/>
            <w:gridSpan w:val="3"/>
          </w:tcPr>
          <w:p>
            <w:pPr>
              <w:spacing w:after="0" w:line="141" w:lineRule="exact"/>
              <w:rPr>
                <w:rFonts w:ascii="Arial" w:cs="Arial" w:eastAsia="Arial" w:hAnsi="Arial"/>
                <w:sz w:val="16"/>
                <w:szCs w:val="16"/>
                <w:color w:val="0000EE"/>
              </w:rPr>
            </w:pPr>
            <w:hyperlink r:id="rId15">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900" w:type="dxa"/>
            <w:vAlign w:val="bottom"/>
            <w:gridSpan w:val="3"/>
            <w:vMerge w:val="restart"/>
          </w:tcPr>
          <w:p>
            <w:pPr>
              <w:spacing w:after="0" w:line="219" w:lineRule="exact"/>
              <w:rPr>
                <w:rFonts w:ascii="Arial" w:cs="Arial" w:eastAsia="Arial" w:hAnsi="Arial"/>
                <w:sz w:val="21"/>
                <w:szCs w:val="21"/>
                <w:color w:val="0000EE"/>
              </w:rPr>
            </w:pPr>
            <w:hyperlink r:id="rId15">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6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500" w:type="dxa"/>
            <w:vAlign w:val="bottom"/>
          </w:tcPr>
          <w:p>
            <w:pPr>
              <w:spacing w:after="0"/>
              <w:rPr>
                <w:sz w:val="16"/>
                <w:szCs w:val="16"/>
                <w:color w:val="auto"/>
              </w:rPr>
            </w:pPr>
          </w:p>
        </w:tc>
        <w:tc>
          <w:tcPr>
            <w:tcW w:w="2940" w:type="dxa"/>
            <w:vAlign w:val="bottom"/>
            <w:gridSpan w:val="2"/>
          </w:tcPr>
          <w:p>
            <w:pPr>
              <w:ind w:left="620"/>
              <w:spacing w:after="0" w:line="185" w:lineRule="exact"/>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12/31/2004</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344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2"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6"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60" w:type="dxa"/>
            <w:vAlign w:val="bottom"/>
          </w:tcPr>
          <w:p>
            <w:pPr>
              <w:spacing w:after="0"/>
              <w:rPr>
                <w:sz w:val="12"/>
                <w:szCs w:val="12"/>
                <w:color w:val="auto"/>
              </w:rPr>
            </w:pPr>
          </w:p>
        </w:tc>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2"/>
                <w:szCs w:val="12"/>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200" w:type="dxa"/>
            <w:vAlign w:val="bottom"/>
          </w:tcPr>
          <w:p>
            <w:pPr>
              <w:spacing w:after="0"/>
              <w:rPr>
                <w:sz w:val="11"/>
                <w:szCs w:val="11"/>
                <w:color w:val="auto"/>
              </w:rPr>
            </w:pP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  (D) (Instr. 3, 4 and 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3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Owned at end of</w:t>
            </w: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vMerge w:val="restart"/>
          </w:tcPr>
          <w:p>
            <w:pPr>
              <w:ind w:left="58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Issuer's Fiscal</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1060" w:type="dxa"/>
            <w:vAlign w:val="bottom"/>
            <w:gridSpan w:val="3"/>
            <w:vMerge w:val="continue"/>
          </w:tcPr>
          <w:p>
            <w:pPr>
              <w:spacing w:after="0"/>
              <w:rPr>
                <w:sz w:val="5"/>
                <w:szCs w:val="5"/>
                <w:color w:val="auto"/>
              </w:rPr>
            </w:pPr>
          </w:p>
        </w:tc>
        <w:tc>
          <w:tcPr>
            <w:tcW w:w="34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5"/>
              </w:rPr>
              <w:t>Price</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Year (Instr. 3 and</w:t>
            </w: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ind w:left="580"/>
              <w:spacing w:after="0"/>
              <w:rPr>
                <w:sz w:val="20"/>
                <w:szCs w:val="20"/>
                <w:color w:val="auto"/>
              </w:rPr>
            </w:pPr>
            <w:r>
              <w:rPr>
                <w:rFonts w:ascii="Arial" w:cs="Arial" w:eastAsia="Arial" w:hAnsi="Arial"/>
                <w:sz w:val="12"/>
                <w:szCs w:val="12"/>
                <w:b w:val="1"/>
                <w:bCs w:val="1"/>
                <w:color w:val="auto"/>
                <w:w w:val="95"/>
              </w:rPr>
              <w:t>(D)</w:t>
            </w: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3"/>
                <w:szCs w:val="23"/>
                <w:color w:val="auto"/>
              </w:rPr>
            </w:pPr>
          </w:p>
        </w:tc>
        <w:tc>
          <w:tcPr>
            <w:tcW w:w="1120" w:type="dxa"/>
            <w:vAlign w:val="bottom"/>
          </w:tcPr>
          <w:p>
            <w:pPr>
              <w:ind w:left="120"/>
              <w:spacing w:after="0"/>
              <w:rPr>
                <w:sz w:val="20"/>
                <w:szCs w:val="20"/>
                <w:color w:val="auto"/>
              </w:rPr>
            </w:pPr>
            <w:r>
              <w:rPr>
                <w:rFonts w:ascii="Arial" w:cs="Arial" w:eastAsia="Arial" w:hAnsi="Arial"/>
                <w:sz w:val="17"/>
                <w:szCs w:val="17"/>
                <w:color w:val="0000FF"/>
              </w:rPr>
              <w:t>12/21/2004</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ind w:left="300"/>
              <w:spacing w:after="0"/>
              <w:rPr>
                <w:sz w:val="20"/>
                <w:szCs w:val="20"/>
                <w:color w:val="auto"/>
              </w:rPr>
            </w:pPr>
            <w:r>
              <w:rPr>
                <w:rFonts w:ascii="Arial" w:cs="Arial" w:eastAsia="Arial" w:hAnsi="Arial"/>
                <w:sz w:val="17"/>
                <w:szCs w:val="17"/>
                <w:color w:val="0000FF"/>
              </w:rPr>
              <w:t>G</w:t>
            </w:r>
          </w:p>
        </w:tc>
        <w:tc>
          <w:tcPr>
            <w:tcW w:w="1520" w:type="dxa"/>
            <w:vAlign w:val="bottom"/>
            <w:gridSpan w:val="3"/>
          </w:tcPr>
          <w:p>
            <w:pPr>
              <w:ind w:left="700"/>
              <w:spacing w:after="0"/>
              <w:rPr>
                <w:sz w:val="20"/>
                <w:szCs w:val="20"/>
                <w:color w:val="auto"/>
              </w:rPr>
            </w:pPr>
            <w:r>
              <w:rPr>
                <w:rFonts w:ascii="Arial" w:cs="Arial" w:eastAsia="Arial" w:hAnsi="Arial"/>
                <w:sz w:val="17"/>
                <w:szCs w:val="17"/>
                <w:color w:val="0000FF"/>
              </w:rPr>
              <w:t>625</w:t>
            </w:r>
          </w:p>
        </w:tc>
        <w:tc>
          <w:tcPr>
            <w:tcW w:w="380" w:type="dxa"/>
            <w:vAlign w:val="bottom"/>
            <w:gridSpan w:val="2"/>
          </w:tcPr>
          <w:p>
            <w:pPr>
              <w:ind w:left="20"/>
              <w:spacing w:after="0"/>
              <w:rPr>
                <w:sz w:val="20"/>
                <w:szCs w:val="20"/>
                <w:color w:val="auto"/>
              </w:rPr>
            </w:pPr>
            <w:r>
              <w:rPr>
                <w:rFonts w:ascii="Arial" w:cs="Arial" w:eastAsia="Arial" w:hAnsi="Arial"/>
                <w:sz w:val="17"/>
                <w:szCs w:val="17"/>
                <w:color w:val="0000FF"/>
              </w:rPr>
              <w:t>D</w:t>
            </w:r>
          </w:p>
        </w:tc>
        <w:tc>
          <w:tcPr>
            <w:tcW w:w="340" w:type="dxa"/>
            <w:vAlign w:val="bottom"/>
          </w:tcPr>
          <w:p>
            <w:pPr>
              <w:spacing w:after="0"/>
              <w:rPr>
                <w:sz w:val="23"/>
                <w:szCs w:val="23"/>
                <w:color w:val="auto"/>
              </w:rPr>
            </w:pPr>
          </w:p>
        </w:tc>
        <w:tc>
          <w:tcPr>
            <w:tcW w:w="540" w:type="dxa"/>
            <w:vAlign w:val="bottom"/>
          </w:tcPr>
          <w:p>
            <w:pPr>
              <w:ind w:left="4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17,719</w:t>
            </w:r>
          </w:p>
        </w:tc>
        <w:tc>
          <w:tcPr>
            <w:tcW w:w="480" w:type="dxa"/>
            <w:vAlign w:val="bottom"/>
          </w:tcPr>
          <w:p>
            <w:pPr>
              <w:ind w:left="340"/>
              <w:spacing w:after="0"/>
              <w:rPr>
                <w:sz w:val="20"/>
                <w:szCs w:val="20"/>
                <w:color w:val="auto"/>
              </w:rPr>
            </w:pPr>
            <w:r>
              <w:rPr>
                <w:rFonts w:ascii="Arial" w:cs="Arial" w:eastAsia="Arial" w:hAnsi="Arial"/>
                <w:sz w:val="17"/>
                <w:szCs w:val="17"/>
                <w:color w:val="0000FF"/>
                <w:w w:val="97"/>
              </w:rPr>
              <w:t>D</w:t>
            </w: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3,700</w:t>
            </w:r>
          </w:p>
        </w:tc>
        <w:tc>
          <w:tcPr>
            <w:tcW w:w="480" w:type="dxa"/>
            <w:vAlign w:val="bottom"/>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3"/>
                <w:szCs w:val="23"/>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6"/>
              </w:rPr>
              <w:t>564</w:t>
            </w:r>
            <w:r>
              <w:rPr>
                <w:rFonts w:ascii="Arial" w:cs="Arial" w:eastAsia="Arial" w:hAnsi="Arial"/>
                <w:sz w:val="22"/>
                <w:szCs w:val="22"/>
                <w:color w:val="008000"/>
                <w:w w:val="86"/>
                <w:vertAlign w:val="superscript"/>
              </w:rPr>
              <w:t>(2)</w:t>
            </w:r>
          </w:p>
        </w:tc>
        <w:tc>
          <w:tcPr>
            <w:tcW w:w="4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32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20" w:type="dxa"/>
            <w:vAlign w:val="bottom"/>
            <w:gridSpan w:val="13"/>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2"/>
            <w:vMerge w:val="restart"/>
          </w:tcPr>
          <w:p>
            <w:pPr>
              <w:ind w:left="34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02/28/2010</w:t>
            </w:r>
          </w:p>
        </w:tc>
        <w:tc>
          <w:tcPr>
            <w:tcW w:w="8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8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2"/>
            <w:vMerge w:val="restart"/>
          </w:tcPr>
          <w:p>
            <w:pPr>
              <w:jc w:val="center"/>
              <w:ind w:right="30"/>
              <w:spacing w:after="0"/>
              <w:rPr>
                <w:sz w:val="20"/>
                <w:szCs w:val="20"/>
                <w:color w:val="auto"/>
              </w:rPr>
            </w:pPr>
            <w:r>
              <w:rPr>
                <w:rFonts w:ascii="Arial" w:cs="Arial" w:eastAsia="Arial" w:hAnsi="Arial"/>
                <w:sz w:val="13"/>
                <w:szCs w:val="13"/>
                <w:color w:val="0000FF"/>
                <w:w w:val="92"/>
              </w:rPr>
              <w:t>7,230</w:t>
            </w:r>
          </w:p>
        </w:tc>
        <w:tc>
          <w:tcPr>
            <w:tcW w:w="40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vMerge w:val="restart"/>
          </w:tcPr>
          <w:p>
            <w:pPr>
              <w:ind w:left="340"/>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80" w:type="dxa"/>
            <w:vAlign w:val="bottom"/>
          </w:tcPr>
          <w:p>
            <w:pPr>
              <w:spacing w:after="0"/>
              <w:rPr>
                <w:sz w:val="12"/>
                <w:szCs w:val="12"/>
                <w:color w:val="auto"/>
              </w:rPr>
            </w:pPr>
          </w:p>
        </w:tc>
        <w:tc>
          <w:tcPr>
            <w:tcW w:w="640" w:type="dxa"/>
            <w:vAlign w:val="bottom"/>
            <w:gridSpan w:val="2"/>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80"/>
              <w:spacing w:after="0"/>
              <w:rPr>
                <w:sz w:val="20"/>
                <w:szCs w:val="20"/>
                <w:color w:val="auto"/>
              </w:rPr>
            </w:pPr>
            <w:r>
              <w:rPr>
                <w:rFonts w:ascii="Arial" w:cs="Arial" w:eastAsia="Arial" w:hAnsi="Arial"/>
                <w:sz w:val="11"/>
                <w:szCs w:val="11"/>
                <w:color w:val="008000"/>
              </w:rPr>
              <w:t>(5)</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vMerge w:val="restart"/>
          </w:tcPr>
          <w:p>
            <w:pPr>
              <w:jc w:val="center"/>
              <w:ind w:right="30"/>
              <w:spacing w:after="0"/>
              <w:rPr>
                <w:sz w:val="20"/>
                <w:szCs w:val="20"/>
                <w:color w:val="auto"/>
              </w:rPr>
            </w:pPr>
            <w:r>
              <w:rPr>
                <w:rFonts w:ascii="Arial" w:cs="Arial" w:eastAsia="Arial" w:hAnsi="Arial"/>
                <w:sz w:val="13"/>
                <w:szCs w:val="13"/>
                <w:color w:val="0000FF"/>
                <w:w w:val="92"/>
              </w:rPr>
              <w:t>7,668</w:t>
            </w:r>
          </w:p>
        </w:tc>
        <w:tc>
          <w:tcPr>
            <w:tcW w:w="40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10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w w:val="99"/>
              </w:rPr>
              <w:t>Compensation)</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6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vMerge w:val="restart"/>
          </w:tcPr>
          <w:p>
            <w:pPr>
              <w:ind w:left="340"/>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80" w:type="dxa"/>
            <w:vAlign w:val="bottom"/>
          </w:tcPr>
          <w:p>
            <w:pPr>
              <w:spacing w:after="0"/>
              <w:rPr>
                <w:sz w:val="12"/>
                <w:szCs w:val="12"/>
                <w:color w:val="auto"/>
              </w:rPr>
            </w:pPr>
          </w:p>
        </w:tc>
        <w:tc>
          <w:tcPr>
            <w:tcW w:w="640" w:type="dxa"/>
            <w:vAlign w:val="bottom"/>
            <w:gridSpan w:val="2"/>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80"/>
              <w:spacing w:after="0"/>
              <w:rPr>
                <w:sz w:val="20"/>
                <w:szCs w:val="20"/>
                <w:color w:val="auto"/>
              </w:rPr>
            </w:pPr>
            <w:r>
              <w:rPr>
                <w:rFonts w:ascii="Arial" w:cs="Arial" w:eastAsia="Arial" w:hAnsi="Arial"/>
                <w:sz w:val="11"/>
                <w:szCs w:val="11"/>
                <w:color w:val="008000"/>
              </w:rPr>
              <w:t>(5)</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vMerge w:val="restart"/>
          </w:tcPr>
          <w:p>
            <w:pPr>
              <w:jc w:val="center"/>
              <w:ind w:right="50"/>
              <w:spacing w:after="0"/>
              <w:rPr>
                <w:sz w:val="20"/>
                <w:szCs w:val="20"/>
                <w:color w:val="auto"/>
              </w:rPr>
            </w:pPr>
            <w:r>
              <w:rPr>
                <w:rFonts w:ascii="Arial" w:cs="Arial" w:eastAsia="Arial" w:hAnsi="Arial"/>
                <w:sz w:val="13"/>
                <w:szCs w:val="13"/>
                <w:color w:val="0000FF"/>
                <w:w w:val="90"/>
              </w:rPr>
              <w:t>40,903</w:t>
            </w:r>
          </w:p>
        </w:tc>
        <w:tc>
          <w:tcPr>
            <w:tcW w:w="400" w:type="dxa"/>
            <w:vAlign w:val="bottom"/>
            <w:vMerge w:val="restart"/>
          </w:tcPr>
          <w:p>
            <w:pPr>
              <w:ind w:left="28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6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Value of WTM Common Shares gifted based on the closing market price of WTM's Common Shares.</w:t>
      </w:r>
    </w:p>
    <w:p>
      <w:pPr>
        <w:spacing w:after="0" w:line="49" w:lineRule="exact"/>
        <w:rPr>
          <w:rFonts w:ascii="Arial" w:cs="Arial" w:eastAsia="Arial" w:hAnsi="Arial"/>
          <w:sz w:val="13"/>
          <w:szCs w:val="13"/>
          <w:color w:val="008000"/>
        </w:rPr>
      </w:pPr>
    </w:p>
    <w:p>
      <w:pPr>
        <w:ind w:left="40" w:right="32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December 20, 2004, the date of Reporting Person's last filing, Reporting Person acquired 1 share of WTM Common Shares under the Folksamerica 401(k) Plan. WTM Common Shares are purchased at fair market value on the date of purchase. The information in this report is based on a plan statement dated as of December 31, 2004.</w:t>
      </w:r>
    </w:p>
    <w:p>
      <w:pPr>
        <w:spacing w:after="0" w:line="1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price of $106.19. The exercise price increases by 6% annually on a cumulative basis.</w:t>
      </w:r>
    </w:p>
    <w:p>
      <w:pPr>
        <w:spacing w:after="0" w:line="15" w:lineRule="exact"/>
        <w:rPr>
          <w:rFonts w:ascii="Arial" w:cs="Arial" w:eastAsia="Arial" w:hAnsi="Arial"/>
          <w:sz w:val="13"/>
          <w:szCs w:val="13"/>
          <w:color w:val="008000"/>
        </w:rPr>
      </w:pPr>
    </w:p>
    <w:p>
      <w:pPr>
        <w:jc w:val="both"/>
        <w:ind w:left="40" w:right="20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WTM Common Shares on February 28, 2000. 900 options become exercisable annually over a ten-year period. 335 options were exercised on December 27, 2001 at an exercise price of $118.15, 1,000 options were exercised on December 30, 2002 at an exercise price of $125.30 and 435 options were exercised on December 20, 2004 at an exercise price of $140.75.</w:t>
      </w:r>
    </w:p>
    <w:p>
      <w:pPr>
        <w:spacing w:after="0" w:line="2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on a predetermined Payment Schedule entered into in October 1999 by the Reporting Person.</w:t>
      </w:r>
    </w:p>
    <w:p>
      <w:pPr>
        <w:spacing w:after="0" w:line="49" w:lineRule="exact"/>
        <w:rPr>
          <w:rFonts w:ascii="Arial" w:cs="Arial" w:eastAsia="Arial" w:hAnsi="Arial"/>
          <w:sz w:val="13"/>
          <w:szCs w:val="13"/>
          <w:color w:val="008000"/>
        </w:rPr>
      </w:pPr>
    </w:p>
    <w:p>
      <w:pPr>
        <w:ind w:left="40" w:right="24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payable, at the election of the Company, in cash or in WTM Common Shares following termination of the Reporting Person's employment with the Company or beginning at an earlier date selected by the Reporting Person.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180" w:type="dxa"/>
            <w:vAlign w:val="bottom"/>
            <w:gridSpan w:val="3"/>
          </w:tcPr>
          <w:p>
            <w:pPr>
              <w:spacing w:after="0"/>
              <w:rPr>
                <w:sz w:val="20"/>
                <w:szCs w:val="20"/>
                <w:color w:val="auto"/>
              </w:rPr>
            </w:pPr>
            <w:r>
              <w:rPr>
                <w:rFonts w:ascii="Arial" w:cs="Arial" w:eastAsia="Arial" w:hAnsi="Arial"/>
                <w:sz w:val="17"/>
                <w:szCs w:val="17"/>
                <w:color w:val="0000FF"/>
                <w:w w:val="96"/>
              </w:rPr>
              <w:t>Dennis Beaulieu,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02/04/2005</w:t>
            </w: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620" w:type="dxa"/>
            <w:vAlign w:val="bottom"/>
            <w:tcBorders>
              <w:top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4"/>
              </w:rPr>
              <w:t>Attorney</w:t>
            </w:r>
          </w:p>
        </w:tc>
        <w:tc>
          <w:tcPr>
            <w:tcW w:w="14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620" w:type="dxa"/>
            <w:vAlign w:val="bottom"/>
            <w:tcBorders>
              <w:top w:val="single" w:sz="8" w:color="auto"/>
              <w:bottom w:val="single" w:sz="8" w:color="auto"/>
            </w:tcBorders>
            <w:vMerge w:val="continue"/>
          </w:tcPr>
          <w:p>
            <w:pPr>
              <w:spacing w:after="0"/>
              <w:rPr>
                <w:sz w:val="7"/>
                <w:szCs w:val="7"/>
                <w:color w:val="auto"/>
              </w:rPr>
            </w:pPr>
          </w:p>
        </w:tc>
        <w:tc>
          <w:tcPr>
            <w:tcW w:w="14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82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9"/>
        </w:trPr>
        <w:tc>
          <w:tcPr>
            <w:tcW w:w="900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24" w:right="1440" w:bottom="1440" w:gutter="0" w:footer="0" w:header="0"/>
        </w:sectPr>
      </w:pPr>
    </w:p>
    <w:bookmarkStart w:id="2" w:name="page3"/>
    <w:bookmarkEnd w:id="2"/>
    <w:p>
      <w:pPr>
        <w:ind w:right="367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w:t>
      </w:r>
    </w:p>
    <w:p>
      <w:pPr>
        <w:spacing w:after="0" w:line="1" w:lineRule="exact"/>
        <w:rPr>
          <w:sz w:val="20"/>
          <w:szCs w:val="20"/>
          <w:color w:val="auto"/>
        </w:rPr>
      </w:pPr>
    </w:p>
    <w:p>
      <w:pPr>
        <w:ind w:right="4099"/>
        <w:spacing w:after="0" w:line="248" w:lineRule="auto"/>
        <w:rPr>
          <w:sz w:val="20"/>
          <w:szCs w:val="20"/>
          <w:color w:val="auto"/>
        </w:rPr>
      </w:pPr>
      <w:r>
        <w:rPr>
          <w:rFonts w:ascii="Courier New" w:cs="Courier New" w:eastAsia="Courier New" w:hAnsi="Courier New"/>
          <w:sz w:val="17"/>
          <w:szCs w:val="17"/>
          <w:color w:val="auto"/>
        </w:rPr>
        <w:t>Dennis P. Beaulieu, Secretary, of White Mountains Insurance Group, Ltd.,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779" w:firstLine="6"/>
        <w:spacing w:after="0" w:line="248" w:lineRule="auto"/>
        <w:tabs>
          <w:tab w:leader="none" w:pos="41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6"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4"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rFonts w:ascii="Courier New" w:cs="Courier New" w:eastAsia="Courier New" w:hAnsi="Courier New"/>
          <w:sz w:val="17"/>
          <w:szCs w:val="17"/>
          <w:color w:val="auto"/>
        </w:rPr>
      </w:pPr>
    </w:p>
    <w:p>
      <w:pPr>
        <w:ind w:right="325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17"/>
          <w:szCs w:val="17"/>
          <w:color w:val="auto"/>
        </w:rPr>
      </w:pPr>
    </w:p>
    <w:p>
      <w:pPr>
        <w:ind w:right="491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January, 2004.</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www.sec.gov/cgi-bin/browse-edgar?action=getcompany&amp;CIK=0001181360" TargetMode="External"/><Relationship Id="rId15"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2019-12-17T11:22:15Z</dcterms:created>
  <dcterms:modified xsi:type="dcterms:W3CDTF">2019-12-17T11:22:15Z</dcterms:modified>
</cp:coreProperties>
</file>