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6"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-641350</wp:posOffset>
            </wp:positionV>
            <wp:extent cx="59055" cy="654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68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-641350</wp:posOffset>
            </wp:positionV>
            <wp:extent cx="59055" cy="654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68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18415</wp:posOffset>
            </wp:positionV>
            <wp:extent cx="7324090" cy="636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36905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FASS STEVE ELLIOTT</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right="160"/>
        <w:spacing w:after="0" w:line="286" w:lineRule="auto"/>
        <w:rPr>
          <w:sz w:val="20"/>
          <w:szCs w:val="20"/>
          <w:color w:val="auto"/>
        </w:rPr>
      </w:pPr>
      <w:r>
        <w:rPr>
          <w:rFonts w:ascii="Arial" w:cs="Arial" w:eastAsia="Arial" w:hAnsi="Arial"/>
          <w:sz w:val="17"/>
          <w:szCs w:val="17"/>
          <w:color w:val="0000FF"/>
        </w:rPr>
        <w:t>C/O WHITE MOUNTAINS INSURANCE GROUP, LTD</w:t>
      </w:r>
    </w:p>
    <w:p>
      <w:pPr>
        <w:spacing w:after="0" w:line="1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1"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3980" w:type="dxa"/>
            <w:vAlign w:val="bottom"/>
            <w:gridSpan w:val="4"/>
            <w:vMerge w:val="restart"/>
          </w:tcPr>
          <w:p>
            <w:pPr>
              <w:ind w:left="60"/>
              <w:spacing w:after="0" w:line="21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1"/>
                <w:szCs w:val="11"/>
                <w:color w:val="auto"/>
              </w:rPr>
            </w:pPr>
          </w:p>
        </w:tc>
        <w:tc>
          <w:tcPr>
            <w:tcW w:w="1160" w:type="dxa"/>
            <w:vAlign w:val="bottom"/>
            <w:tcBorders>
              <w:top w:val="single" w:sz="8" w:color="0000EE"/>
            </w:tcBorders>
          </w:tcPr>
          <w:p>
            <w:pPr>
              <w:spacing w:after="0"/>
              <w:rPr>
                <w:sz w:val="11"/>
                <w:szCs w:val="11"/>
                <w:color w:val="auto"/>
              </w:rPr>
            </w:pPr>
          </w:p>
        </w:tc>
        <w:tc>
          <w:tcPr>
            <w:tcW w:w="2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7"/>
        </w:trPr>
        <w:tc>
          <w:tcPr>
            <w:tcW w:w="6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0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980" w:type="dxa"/>
            <w:vAlign w:val="bottom"/>
            <w:tcBorders>
              <w:top w:val="single" w:sz="8" w:color="2C2C2C"/>
            </w:tcBorders>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5"/>
                <w:szCs w:val="15"/>
                <w:color w:val="auto"/>
              </w:rPr>
            </w:pPr>
          </w:p>
        </w:tc>
        <w:tc>
          <w:tcPr>
            <w:tcW w:w="2920" w:type="dxa"/>
            <w:vAlign w:val="bottom"/>
            <w:gridSpan w:val="2"/>
          </w:tcPr>
          <w:p>
            <w:pPr>
              <w:ind w:left="620"/>
              <w:spacing w:after="0" w:line="183" w:lineRule="exact"/>
              <w:rPr>
                <w:sz w:val="20"/>
                <w:szCs w:val="20"/>
                <w:color w:val="auto"/>
              </w:rPr>
            </w:pPr>
            <w:r>
              <w:rPr>
                <w:rFonts w:ascii="Arial" w:cs="Arial" w:eastAsia="Arial" w:hAnsi="Arial"/>
                <w:sz w:val="17"/>
                <w:szCs w:val="17"/>
                <w:color w:val="0000FF"/>
              </w:rPr>
              <w:t>President &amp; CEO</w:t>
            </w:r>
          </w:p>
        </w:tc>
        <w:tc>
          <w:tcPr>
            <w:tcW w:w="0" w:type="dxa"/>
            <w:vAlign w:val="bottom"/>
          </w:tcPr>
          <w:p>
            <w:pPr>
              <w:spacing w:after="0"/>
              <w:rPr>
                <w:sz w:val="1"/>
                <w:szCs w:val="1"/>
                <w:color w:val="auto"/>
              </w:rPr>
            </w:pPr>
          </w:p>
        </w:tc>
      </w:tr>
      <w:tr>
        <w:trPr>
          <w:trHeight w:val="217"/>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03/22/2006</w:t>
            </w:r>
          </w:p>
        </w:tc>
        <w:tc>
          <w:tcPr>
            <w:tcW w:w="2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0" w:type="dxa"/>
            <w:vAlign w:val="bottom"/>
            <w:tcBorders>
              <w:bottom w:val="single" w:sz="8" w:color="2C2C2C"/>
            </w:tcBorders>
          </w:tcPr>
          <w:p>
            <w:pPr>
              <w:spacing w:after="0"/>
              <w:rPr>
                <w:sz w:val="21"/>
                <w:szCs w:val="21"/>
                <w:color w:val="auto"/>
              </w:rPr>
            </w:pPr>
          </w:p>
        </w:tc>
        <w:tc>
          <w:tcPr>
            <w:tcW w:w="1160" w:type="dxa"/>
            <w:vAlign w:val="bottom"/>
            <w:tcBorders>
              <w:bottom w:val="single" w:sz="8" w:color="2C2C2C"/>
            </w:tcBorders>
          </w:tcPr>
          <w:p>
            <w:pPr>
              <w:spacing w:after="0"/>
              <w:rPr>
                <w:sz w:val="21"/>
                <w:szCs w:val="21"/>
                <w:color w:val="auto"/>
              </w:rPr>
            </w:pPr>
          </w:p>
        </w:tc>
        <w:tc>
          <w:tcPr>
            <w:tcW w:w="21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3420" w:type="dxa"/>
            <w:vAlign w:val="bottom"/>
            <w:tcBorders>
              <w:bottom w:val="single" w:sz="8" w:color="2C2C2C"/>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55" w:lineRule="exact"/>
        <w:rPr>
          <w:sz w:val="20"/>
          <w:szCs w:val="20"/>
          <w:color w:val="auto"/>
        </w:rPr>
      </w:pPr>
    </w:p>
    <w:p>
      <w:pPr>
        <w:sectPr>
          <w:pgSz w:w="11900" w:h="16838" w:orient="portrait"/>
          <w:cols w:equalWidth="0" w:num="2">
            <w:col w:w="3900" w:space="100"/>
            <w:col w:w="752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60" w:type="dxa"/>
            <w:vAlign w:val="bottom"/>
          </w:tcPr>
          <w:p>
            <w:pPr>
              <w:spacing w:after="0"/>
              <w:rPr>
                <w:sz w:val="13"/>
                <w:szCs w:val="13"/>
                <w:color w:val="auto"/>
              </w:rPr>
            </w:pPr>
          </w:p>
        </w:tc>
        <w:tc>
          <w:tcPr>
            <w:tcW w:w="174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64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40" w:type="dxa"/>
            <w:vAlign w:val="bottom"/>
            <w:gridSpan w:val="2"/>
          </w:tcPr>
          <w:p>
            <w:pPr>
              <w:ind w:left="640"/>
              <w:spacing w:after="0" w:line="132"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2"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8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840" w:type="dxa"/>
            <w:vAlign w:val="bottom"/>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tcPr>
          <w:p>
            <w:pPr>
              <w:jc w:val="right"/>
              <w:ind w:right="359"/>
              <w:spacing w:after="0"/>
              <w:rPr>
                <w:sz w:val="20"/>
                <w:szCs w:val="20"/>
                <w:color w:val="auto"/>
              </w:rPr>
            </w:pPr>
            <w:r>
              <w:rPr>
                <w:rFonts w:ascii="Arial" w:cs="Arial" w:eastAsia="Arial" w:hAnsi="Arial"/>
                <w:sz w:val="17"/>
                <w:szCs w:val="17"/>
                <w:color w:val="0000FF"/>
              </w:rPr>
              <w:t>10,000</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ind w:right="319"/>
              <w:spacing w:after="0"/>
              <w:rPr>
                <w:sz w:val="20"/>
                <w:szCs w:val="20"/>
                <w:color w:val="auto"/>
              </w:rPr>
            </w:pPr>
            <w:r>
              <w:rPr>
                <w:rFonts w:ascii="Arial" w:cs="Arial" w:eastAsia="Arial" w:hAnsi="Arial"/>
                <w:sz w:val="17"/>
                <w:szCs w:val="17"/>
                <w:color w:val="0000FF"/>
              </w:rPr>
              <w:t>3,934</w:t>
            </w:r>
            <w:r>
              <w:rPr>
                <w:rFonts w:ascii="Arial" w:cs="Arial" w:eastAsia="Arial" w:hAnsi="Arial"/>
                <w:sz w:val="22"/>
                <w:szCs w:val="22"/>
                <w:color w:val="008000"/>
                <w:vertAlign w:val="superscript"/>
              </w:rPr>
              <w:t>(1)</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6"/>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60" w:type="dxa"/>
            <w:vAlign w:val="bottom"/>
            <w:vMerge w:val="restart"/>
          </w:tcPr>
          <w:p>
            <w:pPr>
              <w:jc w:val="right"/>
              <w:ind w:right="174"/>
              <w:spacing w:after="0"/>
              <w:rPr>
                <w:sz w:val="20"/>
                <w:szCs w:val="20"/>
                <w:color w:val="auto"/>
              </w:rPr>
            </w:pPr>
            <w:r>
              <w:rPr>
                <w:rFonts w:ascii="Arial" w:cs="Arial" w:eastAsia="Arial" w:hAnsi="Arial"/>
                <w:sz w:val="13"/>
                <w:szCs w:val="13"/>
                <w:color w:val="0000FF"/>
              </w:rPr>
              <w:t>03/22/2006</w:t>
            </w:r>
          </w:p>
        </w:tc>
        <w:tc>
          <w:tcPr>
            <w:tcW w:w="1120" w:type="dxa"/>
            <w:vAlign w:val="bottom"/>
          </w:tcPr>
          <w:p>
            <w:pPr>
              <w:spacing w:after="0"/>
              <w:rPr>
                <w:sz w:val="12"/>
                <w:szCs w:val="12"/>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820" w:type="dxa"/>
            <w:vAlign w:val="bottom"/>
            <w:vMerge w:val="restart"/>
          </w:tcPr>
          <w:p>
            <w:pPr>
              <w:ind w:left="80"/>
              <w:spacing w:after="0" w:line="273" w:lineRule="exact"/>
              <w:rPr>
                <w:sz w:val="20"/>
                <w:szCs w:val="20"/>
                <w:color w:val="auto"/>
              </w:rPr>
            </w:pPr>
            <w:r>
              <w:rPr>
                <w:rFonts w:ascii="Arial" w:cs="Arial" w:eastAsia="Arial" w:hAnsi="Arial"/>
                <w:sz w:val="26"/>
                <w:szCs w:val="26"/>
                <w:color w:val="0000FF"/>
                <w:vertAlign w:val="subscript"/>
              </w:rPr>
              <w:t>50</w:t>
            </w:r>
            <w:r>
              <w:rPr>
                <w:rFonts w:ascii="Arial" w:cs="Arial" w:eastAsia="Arial" w:hAnsi="Arial"/>
                <w:sz w:val="11"/>
                <w:szCs w:val="11"/>
                <w:color w:val="008000"/>
              </w:rPr>
              <w:t>(3)</w:t>
            </w: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jc w:val="center"/>
              <w:ind w:right="1"/>
              <w:spacing w:after="0"/>
              <w:rPr>
                <w:sz w:val="20"/>
                <w:szCs w:val="20"/>
                <w:color w:val="auto"/>
              </w:rPr>
            </w:pPr>
            <w:r>
              <w:rPr>
                <w:rFonts w:ascii="Arial" w:cs="Arial" w:eastAsia="Arial" w:hAnsi="Arial"/>
                <w:sz w:val="11"/>
                <w:szCs w:val="11"/>
                <w:color w:val="008000"/>
                <w:w w:val="88"/>
              </w:rPr>
              <w:t>(4)</w:t>
            </w:r>
          </w:p>
        </w:tc>
        <w:tc>
          <w:tcPr>
            <w:tcW w:w="68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4"/>
              </w:rPr>
              <w:t>50</w:t>
            </w:r>
          </w:p>
        </w:tc>
        <w:tc>
          <w:tcPr>
            <w:tcW w:w="76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574</w:t>
            </w:r>
            <w:r>
              <w:rPr>
                <w:rFonts w:ascii="Arial" w:cs="Arial" w:eastAsia="Arial" w:hAnsi="Arial"/>
                <w:sz w:val="22"/>
                <w:szCs w:val="22"/>
                <w:color w:val="008000"/>
                <w:vertAlign w:val="superscript"/>
              </w:rPr>
              <w:t>(5)</w:t>
            </w: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14,229</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140"/>
              <w:spacing w:after="0" w:line="146" w:lineRule="exact"/>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60" w:type="dxa"/>
            <w:vAlign w:val="bottom"/>
            <w:vMerge w:val="restart"/>
          </w:tcPr>
          <w:p>
            <w:pPr>
              <w:jc w:val="right"/>
              <w:ind w:right="174"/>
              <w:spacing w:after="0"/>
              <w:rPr>
                <w:sz w:val="20"/>
                <w:szCs w:val="20"/>
                <w:color w:val="auto"/>
              </w:rPr>
            </w:pPr>
            <w:r>
              <w:rPr>
                <w:rFonts w:ascii="Arial" w:cs="Arial" w:eastAsia="Arial" w:hAnsi="Arial"/>
                <w:sz w:val="13"/>
                <w:szCs w:val="13"/>
                <w:color w:val="0000FF"/>
              </w:rPr>
              <w:t>03/22/2006</w:t>
            </w:r>
          </w:p>
        </w:tc>
        <w:tc>
          <w:tcPr>
            <w:tcW w:w="1120" w:type="dxa"/>
            <w:vAlign w:val="bottom"/>
          </w:tcPr>
          <w:p>
            <w:pPr>
              <w:spacing w:after="0"/>
              <w:rPr>
                <w:sz w:val="12"/>
                <w:szCs w:val="12"/>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820" w:type="dxa"/>
            <w:vAlign w:val="bottom"/>
            <w:vMerge w:val="restart"/>
          </w:tcPr>
          <w:p>
            <w:pPr>
              <w:ind w:left="80"/>
              <w:spacing w:after="0" w:line="273" w:lineRule="exact"/>
              <w:rPr>
                <w:sz w:val="20"/>
                <w:szCs w:val="20"/>
                <w:color w:val="auto"/>
              </w:rPr>
            </w:pPr>
            <w:r>
              <w:rPr>
                <w:rFonts w:ascii="Arial" w:cs="Arial" w:eastAsia="Arial" w:hAnsi="Arial"/>
                <w:sz w:val="26"/>
                <w:szCs w:val="26"/>
                <w:color w:val="0000FF"/>
                <w:vertAlign w:val="subscript"/>
              </w:rPr>
              <w:t>11</w:t>
            </w:r>
            <w:r>
              <w:rPr>
                <w:rFonts w:ascii="Arial" w:cs="Arial" w:eastAsia="Arial" w:hAnsi="Arial"/>
                <w:sz w:val="11"/>
                <w:szCs w:val="11"/>
                <w:color w:val="008000"/>
              </w:rPr>
              <w:t>(3)</w:t>
            </w: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jc w:val="center"/>
              <w:ind w:right="1"/>
              <w:spacing w:after="0"/>
              <w:rPr>
                <w:sz w:val="20"/>
                <w:szCs w:val="20"/>
                <w:color w:val="auto"/>
              </w:rPr>
            </w:pPr>
            <w:r>
              <w:rPr>
                <w:rFonts w:ascii="Arial" w:cs="Arial" w:eastAsia="Arial" w:hAnsi="Arial"/>
                <w:sz w:val="11"/>
                <w:szCs w:val="11"/>
                <w:color w:val="008000"/>
                <w:w w:val="88"/>
              </w:rPr>
              <w:t>(6)</w:t>
            </w:r>
          </w:p>
        </w:tc>
        <w:tc>
          <w:tcPr>
            <w:tcW w:w="68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4"/>
              </w:rPr>
              <w:t>11</w:t>
            </w:r>
          </w:p>
        </w:tc>
        <w:tc>
          <w:tcPr>
            <w:tcW w:w="76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574</w:t>
            </w:r>
            <w:r>
              <w:rPr>
                <w:rFonts w:ascii="Arial" w:cs="Arial" w:eastAsia="Arial" w:hAnsi="Arial"/>
                <w:sz w:val="22"/>
                <w:szCs w:val="22"/>
                <w:color w:val="008000"/>
                <w:vertAlign w:val="superscript"/>
              </w:rPr>
              <w:t>(5)</w:t>
            </w:r>
          </w:p>
        </w:tc>
        <w:tc>
          <w:tcPr>
            <w:tcW w:w="600" w:type="dxa"/>
            <w:vAlign w:val="bottom"/>
            <w:vMerge w:val="restart"/>
          </w:tcPr>
          <w:p>
            <w:pPr>
              <w:jc w:val="center"/>
              <w:ind w:left="199"/>
              <w:spacing w:after="0"/>
              <w:rPr>
                <w:sz w:val="20"/>
                <w:szCs w:val="20"/>
                <w:color w:val="auto"/>
              </w:rPr>
            </w:pPr>
            <w:r>
              <w:rPr>
                <w:rFonts w:ascii="Arial" w:cs="Arial" w:eastAsia="Arial" w:hAnsi="Arial"/>
                <w:sz w:val="13"/>
                <w:szCs w:val="13"/>
                <w:color w:val="0000FF"/>
                <w:w w:val="92"/>
              </w:rPr>
              <w:t>3,127</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140"/>
              <w:spacing w:after="0" w:line="146" w:lineRule="exact"/>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Common</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(8)</w:t>
            </w:r>
          </w:p>
        </w:tc>
        <w:tc>
          <w:tcPr>
            <w:tcW w:w="700" w:type="dxa"/>
            <w:vAlign w:val="bottom"/>
            <w:vMerge w:val="restart"/>
          </w:tcPr>
          <w:p>
            <w:pPr>
              <w:jc w:val="center"/>
              <w:ind w:right="1"/>
              <w:spacing w:after="0"/>
              <w:rPr>
                <w:sz w:val="20"/>
                <w:szCs w:val="20"/>
                <w:color w:val="auto"/>
              </w:rPr>
            </w:pPr>
            <w:r>
              <w:rPr>
                <w:rFonts w:ascii="Arial" w:cs="Arial" w:eastAsia="Arial" w:hAnsi="Arial"/>
                <w:sz w:val="13"/>
                <w:szCs w:val="13"/>
                <w:color w:val="0000FF"/>
                <w:w w:val="92"/>
              </w:rPr>
              <w:t>02/28/2010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4"/>
              </w:rPr>
              <w:t>0</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vMerge w:val="restart"/>
          </w:tcPr>
          <w:p>
            <w:pPr>
              <w:jc w:val="center"/>
              <w:ind w:left="199"/>
              <w:spacing w:after="0"/>
              <w:rPr>
                <w:sz w:val="20"/>
                <w:szCs w:val="20"/>
                <w:color w:val="auto"/>
              </w:rPr>
            </w:pPr>
            <w:r>
              <w:rPr>
                <w:rFonts w:ascii="Arial" w:cs="Arial" w:eastAsia="Arial" w:hAnsi="Arial"/>
                <w:sz w:val="13"/>
                <w:szCs w:val="13"/>
                <w:color w:val="0000FF"/>
                <w:w w:val="92"/>
              </w:rPr>
              <w:t>9,000</w:t>
            </w:r>
          </w:p>
        </w:tc>
        <w:tc>
          <w:tcPr>
            <w:tcW w:w="300" w:type="dxa"/>
            <w:vAlign w:val="bottom"/>
          </w:tcPr>
          <w:p>
            <w:pPr>
              <w:spacing w:after="0"/>
              <w:rPr>
                <w:sz w:val="16"/>
                <w:szCs w:val="16"/>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3"/>
                <w:szCs w:val="13"/>
                <w:color w:val="0000FF"/>
              </w:rPr>
              <w:t>Share Options</w:t>
            </w:r>
          </w:p>
        </w:tc>
        <w:tc>
          <w:tcPr>
            <w:tcW w:w="8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18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Since February 22, 2006, the date of Reporting Person's last filing, Reporting Person acquired 4 shares of WTM Common Shares under the Folksamerica 401(k) Plan. WTM Common Shares are purchased at fair market value on the date of purchase. The information in this report is based on a plan statement dated as of February 28, 2006.</w:t>
      </w:r>
    </w:p>
    <w:p>
      <w:pPr>
        <w:spacing w:after="0" w:line="20"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8" w:lineRule="exact"/>
        <w:rPr>
          <w:rFonts w:ascii="Arial" w:cs="Arial" w:eastAsia="Arial" w:hAnsi="Arial"/>
          <w:sz w:val="13"/>
          <w:szCs w:val="13"/>
          <w:color w:val="008000"/>
        </w:rPr>
      </w:pPr>
    </w:p>
    <w:p>
      <w:pPr>
        <w:ind w:left="40" w:right="58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22, 2006, the Reporting Person's deferred compensation account was credited with Phantom Shares equal in value to the ordinary dividend paid on the underlying WTM Common Shares on the dividend date.</w:t>
      </w:r>
    </w:p>
    <w:p>
      <w:pPr>
        <w:spacing w:after="0" w:line="20" w:lineRule="exact"/>
        <w:rPr>
          <w:rFonts w:ascii="Arial" w:cs="Arial" w:eastAsia="Arial" w:hAnsi="Arial"/>
          <w:sz w:val="13"/>
          <w:szCs w:val="13"/>
          <w:color w:val="008000"/>
        </w:rPr>
      </w:pPr>
    </w:p>
    <w:p>
      <w:pPr>
        <w:ind w:left="40" w:right="40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at the election of the Company, in cash or in Common Shares, following termination of the Reporting Person's employment with the Company or beginning at an earlier date selected by the Reporting Person in accordance with the terms of the deferred compensation plan.</w:t>
      </w:r>
    </w:p>
    <w:p>
      <w:pPr>
        <w:spacing w:after="0" w:line="20"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Dividends are automatically invested in Phantom Shares at the fair market price of the underlying WTM Common Shares on March 22, 2006, the date the dividends are deemed to be paid.</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in cash following termination of the Reporting Person's employment with the Company.</w:t>
      </w:r>
    </w:p>
    <w:p>
      <w:pPr>
        <w:spacing w:after="0" w:line="48" w:lineRule="exact"/>
        <w:rPr>
          <w:rFonts w:ascii="Arial" w:cs="Arial" w:eastAsia="Arial" w:hAnsi="Arial"/>
          <w:sz w:val="13"/>
          <w:szCs w:val="13"/>
          <w:color w:val="008000"/>
        </w:rPr>
      </w:pPr>
    </w:p>
    <w:p>
      <w:pPr>
        <w:ind w:left="40" w:right="40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2000, the Reporting Person was granted options to purchase WTM Common Shares on a 1 for 1 basis at an initial exercise price of $106.19. The exercise price increases by 6% annually on a cumulative basis.</w:t>
      </w:r>
    </w:p>
    <w:p>
      <w:pPr>
        <w:spacing w:after="0" w:line="20"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was originally granted 9,000 options to purchase Common Shares on February 28, 2000. 900 Options become exercisable annually over a ten-year period.</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280" w:type="dxa"/>
            <w:vAlign w:val="bottom"/>
            <w:gridSpan w:val="3"/>
          </w:tcPr>
          <w:p>
            <w:pPr>
              <w:spacing w:after="0"/>
              <w:rPr>
                <w:sz w:val="20"/>
                <w:szCs w:val="20"/>
                <w:color w:val="auto"/>
              </w:rPr>
            </w:pPr>
            <w:r>
              <w:rPr>
                <w:rFonts w:ascii="Arial" w:cs="Arial" w:eastAsia="Arial" w:hAnsi="Arial"/>
                <w:sz w:val="17"/>
                <w:szCs w:val="17"/>
                <w:color w:val="0000FF"/>
              </w:rPr>
              <w:t>Dennis Beaulieu, by Power of</w:t>
            </w: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03/23/2006</w:t>
            </w:r>
          </w:p>
        </w:tc>
        <w:tc>
          <w:tcPr>
            <w:tcW w:w="0" w:type="dxa"/>
            <w:vAlign w:val="bottom"/>
          </w:tcPr>
          <w:p>
            <w:pPr>
              <w:spacing w:after="0"/>
              <w:rPr>
                <w:sz w:val="1"/>
                <w:szCs w:val="1"/>
                <w:color w:val="auto"/>
              </w:rPr>
            </w:pPr>
          </w:p>
        </w:tc>
      </w:tr>
      <w:tr>
        <w:trPr>
          <w:trHeight w:val="91"/>
        </w:trPr>
        <w:tc>
          <w:tcPr>
            <w:tcW w:w="620" w:type="dxa"/>
            <w:vAlign w:val="bottom"/>
            <w:tcBorders>
              <w:top w:val="single" w:sz="8" w:color="auto"/>
              <w:bottom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94"/>
              </w:rPr>
              <w:t>Attorney</w:t>
            </w:r>
          </w:p>
        </w:tc>
        <w:tc>
          <w:tcPr>
            <w:tcW w:w="144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62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5"/>
        <w:spacing w:after="0" w:line="316"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0" w:gutter="0" w:footer="0" w:header="0"/>
          <w:type w:val="continuous"/>
        </w:sectPr>
      </w:pPr>
    </w:p>
    <w:bookmarkStart w:id="1" w:name="page2"/>
    <w:bookmarkEnd w:id="1"/>
    <w:p>
      <w:pPr>
        <w:ind w:right="4639"/>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Palmer, Chief Accounting Officer, Robert L. Seelig, General Counsel and Dennis P. Beaulieu, Secretary, of White Mountains Insurance Group, Ltd., signing singly,</w:t>
      </w:r>
    </w:p>
    <w:p>
      <w:pPr>
        <w:spacing w:after="0"/>
        <w:rPr>
          <w:sz w:val="20"/>
          <w:szCs w:val="20"/>
          <w:color w:val="auto"/>
        </w:rPr>
      </w:pPr>
      <w:r>
        <w:rPr>
          <w:rFonts w:ascii="Courier New" w:cs="Courier New" w:eastAsia="Courier New" w:hAnsi="Courier New"/>
          <w:sz w:val="17"/>
          <w:szCs w:val="17"/>
          <w:color w:val="auto"/>
        </w:rPr>
        <w:t>the undersigned's true and lawful attorney-in-fact to:</w:t>
      </w:r>
    </w:p>
    <w:p>
      <w:pPr>
        <w:spacing w:after="0" w:line="6" w:lineRule="exact"/>
        <w:rPr>
          <w:sz w:val="20"/>
          <w:szCs w:val="20"/>
          <w:color w:val="auto"/>
        </w:rPr>
      </w:pPr>
    </w:p>
    <w:p>
      <w:pPr>
        <w:ind w:right="3919" w:firstLine="6"/>
        <w:spacing w:after="0" w:line="247" w:lineRule="auto"/>
        <w:tabs>
          <w:tab w:leader="none" w:pos="4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819" w:firstLine="6"/>
        <w:spacing w:after="0" w:line="247" w:lineRule="auto"/>
        <w:tabs>
          <w:tab w:leader="none" w:pos="4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right="34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4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403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9th day of March, 2004.</w:t>
      </w:r>
    </w:p>
    <w:p>
      <w:pPr>
        <w:spacing w:after="0" w:line="20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Steven E. Fass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2019-12-17T11:30:54Z</dcterms:created>
  <dcterms:modified xsi:type="dcterms:W3CDTF">2019-12-17T11:30:54Z</dcterms:modified>
</cp:coreProperties>
</file>