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FOY DAVID THOMAS</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02/26/2009</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8"/>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13"/>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3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4"/>
            <w:vMerge w:val="continue"/>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4"/>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02/26/2009</w:t>
            </w:r>
          </w:p>
        </w:tc>
        <w:tc>
          <w:tcPr>
            <w:tcW w:w="2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3"/>
          </w:tcPr>
          <w:p>
            <w:pPr>
              <w:ind w:left="120"/>
              <w:spacing w:after="0"/>
              <w:rPr>
                <w:sz w:val="20"/>
                <w:szCs w:val="20"/>
                <w:color w:val="auto"/>
              </w:rPr>
            </w:pPr>
            <w:r>
              <w:rPr>
                <w:rFonts w:ascii="Arial" w:cs="Arial" w:eastAsia="Arial" w:hAnsi="Arial"/>
                <w:sz w:val="18"/>
                <w:szCs w:val="18"/>
                <w:color w:val="0000FF"/>
              </w:rPr>
              <w:t>9,000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4"/>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1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2"/>
          </w:tcPr>
          <w:p>
            <w:pPr>
              <w:jc w:val="center"/>
              <w:ind w:right="420"/>
              <w:spacing w:after="0"/>
              <w:rPr>
                <w:sz w:val="20"/>
                <w:szCs w:val="20"/>
                <w:color w:val="auto"/>
              </w:rPr>
            </w:pPr>
            <w:r>
              <w:rPr>
                <w:rFonts w:ascii="Arial" w:cs="Arial" w:eastAsia="Arial" w:hAnsi="Arial"/>
                <w:sz w:val="18"/>
                <w:szCs w:val="18"/>
                <w:color w:val="0000FF"/>
                <w:w w:val="88"/>
              </w:rPr>
              <w:t>9,000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60" w:type="dxa"/>
            <w:vAlign w:val="bottom"/>
            <w:gridSpan w:val="2"/>
          </w:tcPr>
          <w:p>
            <w:pPr>
              <w:jc w:val="center"/>
              <w:ind w:right="420"/>
              <w:spacing w:after="0"/>
              <w:rPr>
                <w:sz w:val="20"/>
                <w:szCs w:val="20"/>
                <w:color w:val="auto"/>
              </w:rPr>
            </w:pPr>
            <w:r>
              <w:rPr>
                <w:rFonts w:ascii="Arial" w:cs="Arial" w:eastAsia="Arial" w:hAnsi="Arial"/>
                <w:sz w:val="18"/>
                <w:szCs w:val="18"/>
                <w:color w:val="0000FF"/>
                <w:w w:val="88"/>
              </w:rPr>
              <w:t>3,000</w:t>
            </w:r>
          </w:p>
        </w:tc>
        <w:tc>
          <w:tcPr>
            <w:tcW w:w="260" w:type="dxa"/>
            <w:vAlign w:val="bottom"/>
          </w:tcPr>
          <w:p>
            <w:pPr>
              <w:spacing w:after="0"/>
              <w:rPr>
                <w:sz w:val="23"/>
                <w:szCs w:val="23"/>
                <w:color w:val="auto"/>
              </w:rPr>
            </w:pPr>
          </w:p>
        </w:tc>
        <w:tc>
          <w:tcPr>
            <w:tcW w:w="660" w:type="dxa"/>
            <w:vAlign w:val="bottom"/>
          </w:tcPr>
          <w:p>
            <w:pPr>
              <w:jc w:val="center"/>
              <w:ind w:right="232"/>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vMerge w:val="restart"/>
          </w:tcPr>
          <w:p>
            <w:pPr>
              <w:jc w:val="center"/>
              <w:ind w:left="51"/>
              <w:spacing w:after="0"/>
              <w:rPr>
                <w:sz w:val="20"/>
                <w:szCs w:val="20"/>
                <w:color w:val="auto"/>
              </w:rPr>
            </w:pPr>
            <w:r>
              <w:rPr>
                <w:rFonts w:ascii="Arial" w:cs="Arial" w:eastAsia="Arial" w:hAnsi="Arial"/>
                <w:sz w:val="18"/>
                <w:szCs w:val="18"/>
                <w:color w:val="0000FF"/>
                <w:w w:val="79"/>
              </w:rPr>
              <w:t>6</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vMerge w:val="restart"/>
          </w:tcPr>
          <w:p>
            <w:pPr>
              <w:jc w:val="center"/>
              <w:ind w:right="232"/>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1200" w:type="dxa"/>
            <w:vAlign w:val="bottom"/>
            <w:tcBorders>
              <w:bottom w:val="single" w:sz="8" w:color="2C2C2C"/>
            </w:tcBorders>
            <w:gridSpan w:val="3"/>
          </w:tcPr>
          <w:p>
            <w:pPr>
              <w:spacing w:after="0"/>
              <w:rPr>
                <w:sz w:val="8"/>
                <w:szCs w:val="8"/>
                <w:color w:val="auto"/>
              </w:rPr>
            </w:pPr>
          </w:p>
        </w:tc>
        <w:tc>
          <w:tcPr>
            <w:tcW w:w="1300" w:type="dxa"/>
            <w:vAlign w:val="bottom"/>
            <w:tcBorders>
              <w:bottom w:val="single" w:sz="8" w:color="2C2C2C"/>
            </w:tcBorders>
            <w:gridSpan w:val="5"/>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gridSpan w:val="2"/>
          </w:tcPr>
          <w:p>
            <w:pPr>
              <w:spacing w:after="0"/>
              <w:rPr>
                <w:sz w:val="8"/>
                <w:szCs w:val="8"/>
                <w:color w:val="auto"/>
              </w:rPr>
            </w:pPr>
          </w:p>
        </w:tc>
        <w:tc>
          <w:tcPr>
            <w:tcW w:w="5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21"/>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2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5"/>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5"/>
                <w:szCs w:val="15"/>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5"/>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100"/>
              <w:spacing w:after="0"/>
              <w:rPr>
                <w:sz w:val="20"/>
                <w:szCs w:val="20"/>
                <w:color w:val="auto"/>
              </w:rPr>
            </w:pPr>
            <w:r>
              <w:rPr>
                <w:rFonts w:ascii="Arial" w:cs="Arial" w:eastAsia="Arial" w:hAnsi="Arial"/>
                <w:sz w:val="12"/>
                <w:szCs w:val="12"/>
                <w:b w:val="1"/>
                <w:bCs w:val="1"/>
                <w:color w:val="auto"/>
              </w:rPr>
              <w:t>9. Number of</w:t>
            </w:r>
          </w:p>
        </w:tc>
        <w:tc>
          <w:tcPr>
            <w:tcW w:w="920" w:type="dxa"/>
            <w:vAlign w:val="bottom"/>
            <w:gridSpan w:val="2"/>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3"/>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gridSpan w:val="3"/>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820" w:type="dxa"/>
            <w:vAlign w:val="bottom"/>
            <w:gridSpan w:val="21"/>
          </w:tcPr>
          <w:p>
            <w:pPr>
              <w:ind w:left="20"/>
              <w:spacing w:after="0"/>
              <w:rPr>
                <w:sz w:val="20"/>
                <w:szCs w:val="20"/>
                <w:color w:val="auto"/>
              </w:rPr>
            </w:pPr>
            <w:r>
              <w:rPr>
                <w:rFonts w:ascii="Arial" w:cs="Arial" w:eastAsia="Arial" w:hAnsi="Arial"/>
                <w:sz w:val="14"/>
                <w:szCs w:val="14"/>
                <w:color w:val="008000"/>
                <w:w w:val="89"/>
              </w:rPr>
              <w:t>1. On February 26, 2009, the Reporting Person received a restricted share award of 9,000 Common Shares. The restricted shares vest on December 31, 2010.</w:t>
            </w: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Remarks: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80" w:type="dxa"/>
            <w:vAlign w:val="bottom"/>
            <w:gridSpan w:val="10"/>
          </w:tcPr>
          <w:p>
            <w:pPr>
              <w:spacing w:after="0"/>
              <w:rPr>
                <w:sz w:val="20"/>
                <w:szCs w:val="20"/>
                <w:color w:val="auto"/>
              </w:rPr>
            </w:pPr>
            <w:r>
              <w:rPr>
                <w:rFonts w:ascii="Arial" w:cs="Arial" w:eastAsia="Arial" w:hAnsi="Arial"/>
                <w:sz w:val="18"/>
                <w:szCs w:val="18"/>
                <w:color w:val="0000FF"/>
                <w:w w:val="97"/>
              </w:rPr>
              <w:t>Jason R. Lichtenstein, by</w:t>
            </w:r>
          </w:p>
        </w:tc>
        <w:tc>
          <w:tcPr>
            <w:tcW w:w="1780" w:type="dxa"/>
            <w:vAlign w:val="bottom"/>
            <w:gridSpan w:val="4"/>
            <w:vMerge w:val="restart"/>
          </w:tcPr>
          <w:p>
            <w:pPr>
              <w:ind w:left="320"/>
              <w:spacing w:after="0"/>
              <w:rPr>
                <w:sz w:val="20"/>
                <w:szCs w:val="20"/>
                <w:color w:val="auto"/>
              </w:rPr>
            </w:pPr>
            <w:r>
              <w:rPr>
                <w:rFonts w:ascii="Arial" w:cs="Arial" w:eastAsia="Arial" w:hAnsi="Arial"/>
                <w:sz w:val="18"/>
                <w:szCs w:val="18"/>
                <w:color w:val="0000FF"/>
              </w:rPr>
              <w:t>03/02/2009</w:t>
            </w: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tcBorders>
            <w:gridSpan w:val="6"/>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20" w:type="dxa"/>
            <w:vAlign w:val="bottom"/>
            <w:tcBorders>
              <w:top w:val="single" w:sz="8" w:color="auto"/>
            </w:tcBorders>
            <w:vMerge w:val="restart"/>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78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320" w:type="dxa"/>
            <w:vAlign w:val="bottom"/>
            <w:tcBorders>
              <w:top w:val="single" w:sz="8" w:color="auto"/>
              <w:bottom w:val="single" w:sz="8" w:color="auto"/>
            </w:tcBorders>
            <w:gridSpan w:val="6"/>
            <w:vMerge w:val="continue"/>
          </w:tcPr>
          <w:p>
            <w:pPr>
              <w:spacing w:after="0"/>
              <w:rPr>
                <w:sz w:val="7"/>
                <w:szCs w:val="7"/>
                <w:color w:val="auto"/>
              </w:rPr>
            </w:pPr>
          </w:p>
        </w:tc>
        <w:tc>
          <w:tcPr>
            <w:tcW w:w="20" w:type="dxa"/>
            <w:vAlign w:val="bottom"/>
            <w:tcBorders>
              <w:top w:val="single" w:sz="8" w:color="auto"/>
            </w:tcBorders>
            <w:vMerge w:val="continue"/>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54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980" w:type="dxa"/>
            <w:vAlign w:val="bottom"/>
            <w:gridSpan w:val="10"/>
          </w:tcPr>
          <w:p>
            <w:pPr>
              <w:spacing w:after="0"/>
              <w:rPr>
                <w:sz w:val="20"/>
                <w:szCs w:val="20"/>
                <w:color w:val="auto"/>
              </w:rPr>
            </w:pPr>
            <w:r>
              <w:rPr>
                <w:rFonts w:ascii="Arial" w:cs="Arial" w:eastAsia="Arial" w:hAnsi="Arial"/>
                <w:sz w:val="14"/>
                <w:szCs w:val="14"/>
                <w:color w:val="auto"/>
                <w:w w:val="96"/>
              </w:rPr>
              <w:t>** Signature of Reporting Person</w:t>
            </w:r>
          </w:p>
        </w:tc>
        <w:tc>
          <w:tcPr>
            <w:tcW w:w="860" w:type="dxa"/>
            <w:vAlign w:val="bottom"/>
            <w:gridSpan w:val="2"/>
          </w:tcPr>
          <w:p>
            <w:pPr>
              <w:ind w:left="320"/>
              <w:spacing w:after="0"/>
              <w:rPr>
                <w:sz w:val="20"/>
                <w:szCs w:val="20"/>
                <w:color w:val="auto"/>
              </w:rPr>
            </w:pPr>
            <w:r>
              <w:rPr>
                <w:rFonts w:ascii="Arial" w:cs="Arial" w:eastAsia="Arial" w:hAnsi="Arial"/>
                <w:sz w:val="14"/>
                <w:szCs w:val="14"/>
                <w:color w:val="auto"/>
              </w:rPr>
              <w:t>Date</w:t>
            </w: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300" w:type="dxa"/>
            <w:vAlign w:val="bottom"/>
            <w:gridSpan w:val="9"/>
          </w:tcPr>
          <w:p>
            <w:pPr>
              <w:ind w:left="20"/>
              <w:spacing w:after="0"/>
              <w:rPr>
                <w:sz w:val="20"/>
                <w:szCs w:val="20"/>
                <w:color w:val="auto"/>
              </w:rPr>
            </w:pPr>
            <w:r>
              <w:rPr>
                <w:rFonts w:ascii="Arial" w:cs="Arial" w:eastAsia="Arial" w:hAnsi="Arial"/>
                <w:sz w:val="14"/>
                <w:szCs w:val="14"/>
                <w:color w:val="auto"/>
                <w:w w:val="97"/>
              </w:rPr>
              <w:t>Reminder: Report on a separate line for each class of securities beneficially owned directly or indirectly.</w:t>
            </w: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40" w:type="dxa"/>
            <w:vAlign w:val="bottom"/>
            <w:gridSpan w:val="6"/>
          </w:tcPr>
          <w:p>
            <w:pPr>
              <w:ind w:left="20"/>
              <w:spacing w:after="0"/>
              <w:rPr>
                <w:sz w:val="20"/>
                <w:szCs w:val="20"/>
                <w:color w:val="auto"/>
              </w:rPr>
            </w:pPr>
            <w:r>
              <w:rPr>
                <w:rFonts w:ascii="Arial" w:cs="Arial" w:eastAsia="Arial" w:hAnsi="Arial"/>
                <w:sz w:val="14"/>
                <w:szCs w:val="14"/>
                <w:color w:val="auto"/>
                <w:w w:val="96"/>
              </w:rPr>
              <w:t xml:space="preserve">* If the form is filed by more than one reporting person, </w:t>
            </w:r>
            <w:r>
              <w:rPr>
                <w:rFonts w:ascii="Arial" w:cs="Arial" w:eastAsia="Arial" w:hAnsi="Arial"/>
                <w:sz w:val="14"/>
                <w:szCs w:val="14"/>
                <w:i w:val="1"/>
                <w:iCs w:val="1"/>
                <w:color w:val="auto"/>
                <w:w w:val="96"/>
              </w:rPr>
              <w:t>see</w:t>
            </w:r>
            <w:r>
              <w:rPr>
                <w:rFonts w:ascii="Arial" w:cs="Arial" w:eastAsia="Arial" w:hAnsi="Arial"/>
                <w:sz w:val="14"/>
                <w:szCs w:val="14"/>
                <w:color w:val="auto"/>
                <w:w w:val="96"/>
              </w:rPr>
              <w:t xml:space="preserve"> Instruction 4 (b)(v).</w:t>
            </w: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999"/>
        <w:spacing w:after="0" w:line="268" w:lineRule="auto"/>
        <w:rPr>
          <w:sz w:val="20"/>
          <w:szCs w:val="20"/>
          <w:color w:val="auto"/>
        </w:rPr>
      </w:pPr>
      <w:r>
        <w:rPr>
          <w:rFonts w:ascii="Courier New" w:cs="Courier New" w:eastAsia="Courier New" w:hAnsi="Courier New"/>
          <w:sz w:val="16"/>
          <w:szCs w:val="16"/>
          <w:color w:val="auto"/>
        </w:rPr>
        <w:t>Know all by these presents, that the undersigned hereby constitutes and appoints each of Robert L. Seelig, General Counsel, and Jennifer L. Pitts, Secretary, of White Mountains Insurance Group, Ltd., and Jason R. Lichtenstein, Vice President &amp;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23rd day of June 2008.</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T. Foy</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131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2019-12-18T13:43:21Z</dcterms:created>
  <dcterms:modified xsi:type="dcterms:W3CDTF">2019-12-18T13:43:21Z</dcterms:modified>
</cp:coreProperties>
</file>