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02/24/2010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02/24/2010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2,100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8"/>
              </w:rPr>
              <w:t>6,500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5"/>
              <w:spacing w:after="0"/>
              <w:rPr>
                <w:sz w:val="20"/>
                <w:szCs w:val="20"/>
                <w:color w:val="auto"/>
              </w:rPr>
            </w:pPr>
            <w:r>
              <w:rPr>
                <w:rFonts w:ascii="Arial" w:cs="Arial" w:eastAsia="Arial" w:hAnsi="Arial"/>
                <w:sz w:val="18"/>
                <w:szCs w:val="18"/>
                <w:color w:val="0000FF"/>
                <w:w w:val="83"/>
              </w:rPr>
              <w:t>400</w:t>
            </w:r>
            <w:r>
              <w:rPr>
                <w:rFonts w:ascii="Arial" w:cs="Arial" w:eastAsia="Arial" w:hAnsi="Arial"/>
                <w:sz w:val="22"/>
                <w:szCs w:val="22"/>
                <w:color w:val="008000"/>
                <w:w w:val="83"/>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37</w:t>
            </w:r>
            <w:r>
              <w:rPr>
                <w:rFonts w:ascii="Arial" w:cs="Arial" w:eastAsia="Arial" w:hAnsi="Arial"/>
                <w:sz w:val="11"/>
                <w:szCs w:val="11"/>
                <w:color w:val="008000"/>
                <w:w w:val="76"/>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24, 2010, the Reporting Person received a restricted share award of 2,100 Common Shares which vest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400 Common Shares reclassified from restricted to unrestricted since the Reporting Person's last filing.</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Reporting Person's last filing, he has accumulated 21 additional Common Shares in his Company 401(k) account. WTM Common Shares shares are purchased at fair market value on the date of purchase. The information in this report is based on a plan statement as of February 22, 2010.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7"/>
              </w:rPr>
              <w:t>Jason R. Lichtenstein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02/26/2010</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2019-12-18T13:26:47Z</dcterms:created>
  <dcterms:modified xsi:type="dcterms:W3CDTF">2019-12-18T13:26:47Z</dcterms:modified>
</cp:coreProperties>
</file>