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5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59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6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355" w:lineRule="auto"/>
        <w:rPr>
          <w:sz w:val="20"/>
          <w:szCs w:val="20"/>
          <w:color w:val="auto"/>
        </w:rPr>
      </w:pPr>
      <w:r>
        <w:rPr>
          <w:rFonts w:ascii="Arial" w:cs="Arial" w:eastAsia="Arial" w:hAnsi="Arial"/>
          <w:sz w:val="17"/>
          <w:szCs w:val="17"/>
          <w:color w:val="0000FF"/>
        </w:rPr>
        <w:t>C/O WHITE MOUNTAINS INSURANCE GROUP 80 SOUTH MAIN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920" w:type="dxa"/>
            <w:vAlign w:val="bottom"/>
            <w:gridSpan w:val="2"/>
          </w:tcPr>
          <w:p>
            <w:pPr>
              <w:ind w:left="520"/>
              <w:spacing w:after="0"/>
              <w:rPr>
                <w:sz w:val="20"/>
                <w:szCs w:val="20"/>
                <w:color w:val="auto"/>
              </w:rPr>
            </w:pPr>
            <w:r>
              <w:rPr>
                <w:rFonts w:ascii="Arial" w:cs="Arial" w:eastAsia="Arial" w:hAnsi="Arial"/>
                <w:sz w:val="17"/>
                <w:szCs w:val="17"/>
                <w:color w:val="0000FF"/>
              </w:rPr>
              <w:t>Pres., WM Advisors</w:t>
            </w: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03/24/2004</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900" w:space="100"/>
            <w:col w:w="7520"/>
          </w:cols>
          <w:pgMar w:left="240" w:top="224" w:right="139" w:bottom="6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1,676</w:t>
            </w:r>
          </w:p>
        </w:tc>
        <w:tc>
          <w:tcPr>
            <w:tcW w:w="36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62,000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left="416"/>
              <w:spacing w:after="0"/>
              <w:rPr>
                <w:sz w:val="20"/>
                <w:szCs w:val="20"/>
                <w:color w:val="auto"/>
              </w:rPr>
            </w:pPr>
            <w:r>
              <w:rPr>
                <w:rFonts w:ascii="Arial" w:cs="Arial" w:eastAsia="Arial" w:hAnsi="Arial"/>
                <w:sz w:val="17"/>
                <w:szCs w:val="17"/>
                <w:color w:val="0000FF"/>
                <w:w w:val="94"/>
              </w:rPr>
              <w:t>22</w:t>
            </w: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416"/>
              <w:spacing w:after="0" w:line="318" w:lineRule="exact"/>
              <w:rPr>
                <w:sz w:val="20"/>
                <w:szCs w:val="20"/>
                <w:color w:val="auto"/>
              </w:rPr>
            </w:pPr>
            <w:r>
              <w:rPr>
                <w:rFonts w:ascii="Arial" w:cs="Arial" w:eastAsia="Arial" w:hAnsi="Arial"/>
                <w:sz w:val="34"/>
                <w:szCs w:val="34"/>
                <w:color w:val="0000FF"/>
                <w:w w:val="84"/>
                <w:vertAlign w:val="subscript"/>
              </w:rPr>
              <w:t>5</w:t>
            </w:r>
            <w:r>
              <w:rPr>
                <w:rFonts w:ascii="Arial" w:cs="Arial" w:eastAsia="Arial" w:hAnsi="Arial"/>
                <w:sz w:val="11"/>
                <w:szCs w:val="11"/>
                <w:color w:val="008000"/>
                <w:w w:val="84"/>
              </w:rPr>
              <w:t>(2)</w:t>
            </w: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10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By ESOP</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300" w:type="dxa"/>
            <w:vAlign w:val="bottom"/>
            <w:gridSpan w:val="11"/>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03/24/2004</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03/24/2004</w:t>
            </w:r>
          </w:p>
        </w:tc>
        <w:tc>
          <w:tcPr>
            <w:tcW w:w="4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720" w:type="dxa"/>
            <w:vAlign w:val="bottom"/>
            <w:vMerge w:val="restart"/>
          </w:tcPr>
          <w:p>
            <w:pPr>
              <w:ind w:left="40"/>
              <w:spacing w:after="0" w:line="275" w:lineRule="exact"/>
              <w:rPr>
                <w:sz w:val="20"/>
                <w:szCs w:val="20"/>
                <w:color w:val="auto"/>
              </w:rPr>
            </w:pPr>
            <w:r>
              <w:rPr>
                <w:rFonts w:ascii="Arial" w:cs="Arial" w:eastAsia="Arial" w:hAnsi="Arial"/>
                <w:sz w:val="26"/>
                <w:szCs w:val="26"/>
                <w:color w:val="0000FF"/>
                <w:vertAlign w:val="subscript"/>
              </w:rPr>
              <w:t>8</w:t>
            </w:r>
            <w:r>
              <w:rPr>
                <w:rFonts w:ascii="Arial" w:cs="Arial" w:eastAsia="Arial" w:hAnsi="Arial"/>
                <w:sz w:val="11"/>
                <w:szCs w:val="11"/>
                <w:color w:val="008000"/>
              </w:rPr>
              <w:t>(4)</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8</w:t>
            </w:r>
          </w:p>
        </w:tc>
        <w:tc>
          <w:tcPr>
            <w:tcW w:w="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493</w:t>
            </w:r>
            <w:r>
              <w:rPr>
                <w:rFonts w:ascii="Arial" w:cs="Arial" w:eastAsia="Arial" w:hAnsi="Arial"/>
                <w:sz w:val="22"/>
                <w:szCs w:val="22"/>
                <w:color w:val="008000"/>
                <w:vertAlign w:val="superscript"/>
              </w:rPr>
              <w:t>(6)</w:t>
            </w:r>
          </w:p>
        </w:tc>
        <w:tc>
          <w:tcPr>
            <w:tcW w:w="860" w:type="dxa"/>
            <w:vAlign w:val="bottom"/>
            <w:gridSpan w:val="2"/>
            <w:vMerge w:val="restart"/>
          </w:tcPr>
          <w:p>
            <w:pPr>
              <w:ind w:left="280"/>
              <w:spacing w:after="0"/>
              <w:rPr>
                <w:sz w:val="20"/>
                <w:szCs w:val="20"/>
                <w:color w:val="auto"/>
              </w:rPr>
            </w:pPr>
            <w:r>
              <w:rPr>
                <w:rFonts w:ascii="Arial" w:cs="Arial" w:eastAsia="Arial" w:hAnsi="Arial"/>
                <w:sz w:val="13"/>
                <w:szCs w:val="13"/>
                <w:color w:val="0000FF"/>
              </w:rPr>
              <w:t>4,008</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20" w:firstLine="6"/>
        <w:spacing w:after="0" w:line="24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41,122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December 31, 2003, the Reporting Person acquired 5 shares of WTM's Common Shares under the OneBeacon Employee Stock Ownership Plan. WTM Common Shares are purchased at fair market value on the date of purchase. The information contained in this report is based on a plan statement dated as of February 27, 2004.</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5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24, 2004, the Reporting Person's deferred compensation account was credited with Phantom Shares equal in value to the ordinary dividend paid on the underlying WTM Common Shares on the dividend date.</w:t>
      </w:r>
    </w:p>
    <w:p>
      <w:pPr>
        <w:spacing w:after="0" w:line="16" w:lineRule="exact"/>
        <w:rPr>
          <w:rFonts w:ascii="Arial" w:cs="Arial" w:eastAsia="Arial" w:hAnsi="Arial"/>
          <w:sz w:val="13"/>
          <w:szCs w:val="13"/>
          <w:color w:val="008000"/>
        </w:rPr>
      </w:pPr>
    </w:p>
    <w:p>
      <w:pPr>
        <w:ind w:left="40" w:right="3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March 24, 2004, the date the dividends are deemed to be paid.</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Dennis P. Beaulieu, by Power</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03/26/2004</w:t>
            </w:r>
          </w:p>
        </w:tc>
        <w:tc>
          <w:tcPr>
            <w:tcW w:w="0" w:type="dxa"/>
            <w:vAlign w:val="bottom"/>
          </w:tcPr>
          <w:p>
            <w:pPr>
              <w:spacing w:after="0"/>
              <w:rPr>
                <w:sz w:val="1"/>
                <w:szCs w:val="1"/>
                <w:color w:val="auto"/>
              </w:rPr>
            </w:pPr>
          </w:p>
        </w:tc>
      </w:tr>
      <w:tr>
        <w:trPr>
          <w:trHeight w:val="91"/>
        </w:trPr>
        <w:tc>
          <w:tcPr>
            <w:tcW w:w="206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of Attorney</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670" w:gutter="0" w:footer="0" w:header="0"/>
          <w:type w:val="continuous"/>
        </w:sectPr>
      </w:pPr>
    </w:p>
    <w:bookmarkStart w:id="1" w:name="page2"/>
    <w:bookmarkEnd w:id="1"/>
    <w:p>
      <w:pPr>
        <w:ind w:right="441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2019-12-17T11:36:52Z</dcterms:created>
  <dcterms:modified xsi:type="dcterms:W3CDTF">2019-12-17T11:36:52Z</dcterms:modified>
</cp:coreProperties>
</file>