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SEELIG ROBERT LAWRENCE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EVP &amp; General Counsel</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01/01/2020</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01/01/2020</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793</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1,115.51</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12,685</w:t>
            </w:r>
            <w:r>
              <w:rPr>
                <w:rFonts w:ascii="Arial" w:cs="Arial" w:eastAsia="Arial" w:hAnsi="Arial"/>
                <w:sz w:val="22"/>
                <w:szCs w:val="22"/>
                <w:color w:val="008000"/>
                <w:w w:val="84"/>
                <w:vertAlign w:val="superscript"/>
              </w:rPr>
              <w:t>(1)</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2,800</w:t>
            </w:r>
            <w:r>
              <w:rPr>
                <w:rFonts w:ascii="Arial" w:cs="Arial" w:eastAsia="Arial" w:hAnsi="Arial"/>
                <w:sz w:val="22"/>
                <w:szCs w:val="22"/>
                <w:color w:val="008000"/>
                <w:w w:val="85"/>
                <w:vertAlign w:val="superscript"/>
              </w:rPr>
              <w:t>(1)</w:t>
            </w:r>
          </w:p>
        </w:tc>
        <w:tc>
          <w:tcPr>
            <w:tcW w:w="940" w:type="dxa"/>
            <w:vAlign w:val="bottom"/>
            <w:tcBorders>
              <w:bottom w:val="single" w:sz="8" w:color="2C2C2C"/>
            </w:tcBorders>
          </w:tcPr>
          <w:p>
            <w:pPr>
              <w:jc w:val="center"/>
              <w:ind w:right="11"/>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wife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restart"/>
          </w:tcPr>
          <w:p>
            <w:pPr>
              <w:jc w:val="center"/>
              <w:ind w:right="434"/>
              <w:spacing w:after="0"/>
              <w:rPr>
                <w:sz w:val="20"/>
                <w:szCs w:val="20"/>
                <w:color w:val="auto"/>
              </w:rPr>
            </w:pPr>
            <w:r>
              <w:rPr>
                <w:rFonts w:ascii="Arial" w:cs="Arial" w:eastAsia="Arial" w:hAnsi="Arial"/>
                <w:sz w:val="18"/>
                <w:szCs w:val="18"/>
                <w:color w:val="0000FF"/>
                <w:w w:val="99"/>
              </w:rPr>
              <w:t>5</w:t>
            </w:r>
          </w:p>
        </w:tc>
        <w:tc>
          <w:tcPr>
            <w:tcW w:w="940" w:type="dxa"/>
            <w:vAlign w:val="bottom"/>
            <w:vMerge w:val="restart"/>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3"/>
              </w:rPr>
              <w:t>dependent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jc w:val="center"/>
              <w:ind w:right="434"/>
              <w:spacing w:after="0"/>
              <w:rPr>
                <w:sz w:val="20"/>
                <w:szCs w:val="20"/>
                <w:color w:val="auto"/>
              </w:rPr>
            </w:pPr>
            <w:r>
              <w:rPr>
                <w:rFonts w:ascii="Arial" w:cs="Arial" w:eastAsia="Arial" w:hAnsi="Arial"/>
                <w:sz w:val="18"/>
                <w:szCs w:val="18"/>
                <w:color w:val="0000FF"/>
                <w:w w:val="86"/>
              </w:rPr>
              <w:t>560</w:t>
            </w:r>
          </w:p>
        </w:tc>
        <w:tc>
          <w:tcPr>
            <w:tcW w:w="940" w:type="dxa"/>
            <w:vAlign w:val="bottom"/>
          </w:tcPr>
          <w:p>
            <w:pPr>
              <w:jc w:val="center"/>
              <w:ind w:right="1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00" w:type="dxa"/>
            <w:vAlign w:val="bottom"/>
            <w:tcBorders>
              <w:bottom w:val="single" w:sz="8" w:color="2C2C2C"/>
            </w:tcBorders>
            <w:gridSpan w:val="11"/>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On January 1, 2020, 2,000 restricted Common Shares became unrestricted. 793 of the Common Shares were withheld by the Company to satisfy the Reporting Person's tax obligations.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01/02/2020</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32" w:lineRule="exact"/>
        <w:rPr>
          <w:sz w:val="20"/>
          <w:szCs w:val="20"/>
          <w:color w:val="auto"/>
        </w:rPr>
      </w:pPr>
    </w:p>
    <w:p>
      <w:pPr>
        <w:ind w:right="4419"/>
        <w:spacing w:after="0" w:line="473"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&amp; General Counsel,</w:t>
      </w:r>
    </w:p>
    <w:p>
      <w:pPr>
        <w:spacing w:after="0" w:line="10" w:lineRule="exact"/>
        <w:rPr>
          <w:sz w:val="20"/>
          <w:szCs w:val="20"/>
          <w:color w:val="auto"/>
        </w:rPr>
      </w:pPr>
    </w:p>
    <w:p>
      <w:pPr>
        <w:ind w:right="4839"/>
        <w:spacing w:after="0" w:line="536" w:lineRule="auto"/>
        <w:rPr>
          <w:sz w:val="20"/>
          <w:szCs w:val="20"/>
          <w:color w:val="auto"/>
        </w:rPr>
      </w:pPr>
      <w:r>
        <w:rPr>
          <w:rFonts w:ascii="Courier New" w:cs="Courier New" w:eastAsia="Courier New" w:hAnsi="Courier New"/>
          <w:sz w:val="16"/>
          <w:szCs w:val="16"/>
          <w:color w:val="auto"/>
        </w:rPr>
        <w:t>Jennifer L. Moyer, Managing Director &amp; Corporate Secretary, Jason R. Lichtenstein, Managing Director</w:t>
      </w:r>
    </w:p>
    <w:p>
      <w:pPr>
        <w:spacing w:after="0" w:line="1" w:lineRule="exact"/>
        <w:rPr>
          <w:sz w:val="20"/>
          <w:szCs w:val="20"/>
          <w:color w:val="auto"/>
        </w:rPr>
      </w:pPr>
    </w:p>
    <w:p>
      <w:pPr>
        <w:ind w:right="4939" w:firstLine="8"/>
        <w:spacing w:after="0" w:line="474"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Associate General Counsel, and Wesley Bell, Vice President &amp; Assistant General Counsel,signing singly, the undersigned's true and lawful attorney-in-fact to:</w:t>
      </w:r>
    </w:p>
    <w:p>
      <w:pPr>
        <w:spacing w:after="0" w:line="9" w:lineRule="exact"/>
        <w:rPr>
          <w:rFonts w:ascii="Courier New" w:cs="Courier New" w:eastAsia="Courier New" w:hAnsi="Courier New"/>
          <w:sz w:val="18"/>
          <w:szCs w:val="18"/>
          <w:color w:val="auto"/>
        </w:rPr>
      </w:pPr>
    </w:p>
    <w:p>
      <w:pPr>
        <w:ind w:right="37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971" w:orient="portrait"/>
          <w:cols w:equalWidth="0" w:num="1">
            <w:col w:w="10219"/>
          </w:cols>
          <w:pgMar w:left="240" w:top="142" w:right="1440" w:bottom="0" w:gutter="0" w:footer="0" w:header="0"/>
        </w:sectPr>
      </w:pPr>
    </w:p>
    <w:bookmarkStart w:id="2" w:name="page3"/>
    <w:bookmarkEnd w:id="2"/>
    <w:p>
      <w:pPr>
        <w:ind w:right="3479"/>
        <w:spacing w:after="0" w:line="541" w:lineRule="auto"/>
        <w:rPr>
          <w:sz w:val="20"/>
          <w:szCs w:val="20"/>
          <w:color w:val="auto"/>
        </w:rPr>
      </w:pPr>
      <w:r>
        <w:rPr>
          <w:rFonts w:ascii="Courier New" w:cs="Courier New" w:eastAsia="Courier New" w:hAnsi="Courier New"/>
          <w:sz w:val="16"/>
          <w:szCs w:val="16"/>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371"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420" w:val="left"/>
          <w:tab w:leader="none" w:pos="2940" w:val="left"/>
        </w:tabs>
        <w:rPr>
          <w:sz w:val="20"/>
          <w:szCs w:val="20"/>
          <w:color w:val="auto"/>
        </w:rPr>
      </w:pPr>
      <w:r>
        <w:rPr>
          <w:rFonts w:ascii="Courier New" w:cs="Courier New" w:eastAsia="Courier New" w:hAnsi="Courier New"/>
          <w:sz w:val="18"/>
          <w:szCs w:val="18"/>
          <w:color w:val="auto"/>
        </w:rPr>
        <w:t>Date: May 24, 2018</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Robert L. Seelig</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amp;"/>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19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2020-01-02T16:45:13Z</dcterms:created>
  <dcterms:modified xsi:type="dcterms:W3CDTF">2020-01-02T16:45:13Z</dcterms:modified>
</cp:coreProperties>
</file>