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09/17/2015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09/17/2015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D</w:t>
            </w:r>
          </w:p>
        </w:tc>
        <w:tc>
          <w:tcPr>
            <w:tcW w:w="700" w:type="dxa"/>
            <w:vAlign w:val="bottom"/>
          </w:tcPr>
          <w:p>
            <w:pPr>
              <w:ind w:left="280"/>
              <w:spacing w:after="0"/>
              <w:rPr>
                <w:sz w:val="20"/>
                <w:szCs w:val="20"/>
                <w:color w:val="auto"/>
              </w:rPr>
            </w:pPr>
            <w:r>
              <w:rPr>
                <w:rFonts w:ascii="Arial" w:cs="Arial" w:eastAsia="Arial" w:hAnsi="Arial"/>
                <w:sz w:val="18"/>
                <w:szCs w:val="18"/>
                <w:color w:val="0000FF"/>
                <w:w w:val="88"/>
              </w:rPr>
              <w:t>1,900</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761.5</w:t>
            </w:r>
          </w:p>
        </w:tc>
        <w:tc>
          <w:tcPr>
            <w:tcW w:w="360" w:type="dxa"/>
            <w:vAlign w:val="bottom"/>
          </w:tcPr>
          <w:p>
            <w:pPr>
              <w:spacing w:after="0"/>
              <w:rPr>
                <w:sz w:val="23"/>
                <w:szCs w:val="23"/>
                <w:color w:val="auto"/>
              </w:rPr>
            </w:pPr>
          </w:p>
        </w:tc>
        <w:tc>
          <w:tcPr>
            <w:tcW w:w="880" w:type="dxa"/>
            <w:vAlign w:val="bottom"/>
          </w:tcPr>
          <w:p>
            <w:pPr>
              <w:jc w:val="center"/>
              <w:ind w:right="335"/>
              <w:spacing w:after="0"/>
              <w:rPr>
                <w:sz w:val="20"/>
                <w:szCs w:val="20"/>
                <w:color w:val="auto"/>
              </w:rPr>
            </w:pPr>
            <w:r>
              <w:rPr>
                <w:rFonts w:ascii="Arial" w:cs="Arial" w:eastAsia="Arial" w:hAnsi="Arial"/>
                <w:sz w:val="18"/>
                <w:szCs w:val="18"/>
                <w:color w:val="0000FF"/>
                <w:w w:val="88"/>
              </w:rPr>
              <w:t>5,000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5"/>
              <w:spacing w:after="0"/>
              <w:rPr>
                <w:sz w:val="20"/>
                <w:szCs w:val="20"/>
                <w:color w:val="auto"/>
              </w:rPr>
            </w:pPr>
            <w:r>
              <w:rPr>
                <w:rFonts w:ascii="Arial" w:cs="Arial" w:eastAsia="Arial" w:hAnsi="Arial"/>
                <w:sz w:val="18"/>
                <w:szCs w:val="18"/>
                <w:color w:val="0000FF"/>
                <w:w w:val="88"/>
              </w:rPr>
              <w:t>7,000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5"/>
              <w:spacing w:after="0"/>
              <w:rPr>
                <w:sz w:val="20"/>
                <w:szCs w:val="20"/>
                <w:color w:val="auto"/>
              </w:rPr>
            </w:pPr>
            <w:r>
              <w:rPr>
                <w:rFonts w:ascii="Arial" w:cs="Arial" w:eastAsia="Arial" w:hAnsi="Arial"/>
                <w:sz w:val="35"/>
                <w:szCs w:val="35"/>
                <w:color w:val="0000FF"/>
                <w:w w:val="76"/>
                <w:vertAlign w:val="subscript"/>
              </w:rPr>
              <w:t>78</w:t>
            </w:r>
            <w:r>
              <w:rPr>
                <w:rFonts w:ascii="Arial" w:cs="Arial" w:eastAsia="Arial" w:hAnsi="Arial"/>
                <w:sz w:val="11"/>
                <w:szCs w:val="11"/>
                <w:color w:val="008000"/>
                <w:w w:val="76"/>
              </w:rPr>
              <w:t>(1)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6 WTM Common Shares in Reporting Person's Company 401(k) account since his last filed report. WTM Common Shares are purchased at fair market value on the date of purchase. The information in this report is based on a plan statement dated as of September 16, 2015.</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09/18/2015</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2019-12-24T06:44:15Z</dcterms:created>
  <dcterms:modified xsi:type="dcterms:W3CDTF">2019-12-24T06:44:15Z</dcterms:modified>
</cp:coreProperties>
</file>