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58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58228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CHOKEL CHARLES BERGEN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46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46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460" w:type="dxa"/>
            <w:vAlign w:val="bottom"/>
            <w:vMerge w:val="restart"/>
          </w:tcPr>
          <w:p>
            <w:pPr>
              <w:ind w:left="16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60" w:type="dxa"/>
            <w:vAlign w:val="bottom"/>
          </w:tcPr>
          <w:p>
            <w:pPr>
              <w:spacing w:after="0"/>
              <w:rPr>
                <w:sz w:val="5"/>
                <w:szCs w:val="5"/>
                <w:color w:val="auto"/>
              </w:rPr>
            </w:pPr>
          </w:p>
        </w:tc>
        <w:tc>
          <w:tcPr>
            <w:tcW w:w="2960" w:type="dxa"/>
            <w:vAlign w:val="bottom"/>
            <w:gridSpan w:val="2"/>
            <w:vMerge w:val="restart"/>
          </w:tcPr>
          <w:p>
            <w:pPr>
              <w:ind w:left="40"/>
              <w:spacing w:after="0"/>
              <w:rPr>
                <w:sz w:val="20"/>
                <w:szCs w:val="20"/>
                <w:color w:val="auto"/>
              </w:rPr>
            </w:pPr>
            <w:r>
              <w:rPr>
                <w:rFonts w:ascii="Arial" w:cs="Arial" w:eastAsia="Arial" w:hAnsi="Arial"/>
                <w:sz w:val="18"/>
                <w:szCs w:val="18"/>
                <w:color w:val="0000FF"/>
              </w:rPr>
              <w:t>CFO - White Mountains Re Group</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460" w:type="dxa"/>
            <w:vAlign w:val="bottom"/>
          </w:tcPr>
          <w:p>
            <w:pPr>
              <w:spacing w:after="0"/>
              <w:rPr>
                <w:sz w:val="16"/>
                <w:szCs w:val="16"/>
                <w:color w:val="auto"/>
              </w:rPr>
            </w:pPr>
          </w:p>
        </w:tc>
        <w:tc>
          <w:tcPr>
            <w:tcW w:w="2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02/27/2008</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880" w:type="dxa"/>
            <w:vAlign w:val="bottom"/>
            <w:gridSpan w:val="2"/>
          </w:tcPr>
          <w:p>
            <w:pPr>
              <w:jc w:val="center"/>
              <w:ind w:left="573"/>
              <w:spacing w:after="0"/>
              <w:rPr>
                <w:sz w:val="20"/>
                <w:szCs w:val="20"/>
                <w:color w:val="auto"/>
              </w:rPr>
            </w:pPr>
            <w:r>
              <w:rPr>
                <w:rFonts w:ascii="Arial" w:cs="Arial" w:eastAsia="Arial" w:hAnsi="Arial"/>
                <w:sz w:val="18"/>
                <w:szCs w:val="18"/>
                <w:color w:val="0000FF"/>
                <w:w w:val="88"/>
              </w:rPr>
              <w:t>02/27/2008</w:t>
            </w: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ind w:left="180"/>
              <w:spacing w:after="0"/>
              <w:rPr>
                <w:sz w:val="20"/>
                <w:szCs w:val="20"/>
                <w:color w:val="auto"/>
              </w:rPr>
            </w:pPr>
            <w:r>
              <w:rPr>
                <w:rFonts w:ascii="Arial" w:cs="Arial" w:eastAsia="Arial" w:hAnsi="Arial"/>
                <w:sz w:val="14"/>
                <w:szCs w:val="14"/>
                <w:color w:val="0000FF"/>
              </w:rPr>
              <w:t>A</w:t>
            </w:r>
          </w:p>
        </w:tc>
        <w:tc>
          <w:tcPr>
            <w:tcW w:w="340" w:type="dxa"/>
            <w:vAlign w:val="bottom"/>
          </w:tcPr>
          <w:p>
            <w:pPr>
              <w:spacing w:after="0"/>
              <w:rPr>
                <w:sz w:val="23"/>
                <w:szCs w:val="23"/>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0000FF"/>
                <w:w w:val="88"/>
              </w:rPr>
              <w:t>1,600</w:t>
            </w:r>
          </w:p>
        </w:tc>
        <w:tc>
          <w:tcPr>
            <w:tcW w:w="600" w:type="dxa"/>
            <w:vAlign w:val="bottom"/>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Pr>
          <w:p>
            <w:pPr>
              <w:ind w:left="34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Pr>
          <w:p>
            <w:pPr>
              <w:spacing w:after="0"/>
              <w:rPr>
                <w:sz w:val="23"/>
                <w:szCs w:val="23"/>
                <w:color w:val="auto"/>
              </w:rPr>
            </w:pPr>
          </w:p>
        </w:tc>
        <w:tc>
          <w:tcPr>
            <w:tcW w:w="1400" w:type="dxa"/>
            <w:vAlign w:val="bottom"/>
            <w:gridSpan w:val="3"/>
          </w:tcPr>
          <w:p>
            <w:pPr>
              <w:jc w:val="right"/>
              <w:ind w:right="396"/>
              <w:spacing w:after="0"/>
              <w:rPr>
                <w:sz w:val="20"/>
                <w:szCs w:val="20"/>
                <w:color w:val="auto"/>
              </w:rPr>
            </w:pPr>
            <w:r>
              <w:rPr>
                <w:rFonts w:ascii="Arial" w:cs="Arial" w:eastAsia="Arial" w:hAnsi="Arial"/>
                <w:sz w:val="18"/>
                <w:szCs w:val="18"/>
                <w:color w:val="0000FF"/>
              </w:rPr>
              <w:t>1,600</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vMerge w:val="restart"/>
          </w:tcPr>
          <w:p>
            <w:pPr>
              <w:jc w:val="right"/>
              <w:ind w:right="456"/>
              <w:spacing w:after="0"/>
              <w:rPr>
                <w:sz w:val="20"/>
                <w:szCs w:val="20"/>
                <w:color w:val="auto"/>
              </w:rPr>
            </w:pPr>
            <w:r>
              <w:rPr>
                <w:rFonts w:ascii="Arial" w:cs="Arial" w:eastAsia="Arial" w:hAnsi="Arial"/>
                <w:sz w:val="18"/>
                <w:szCs w:val="18"/>
                <w:color w:val="0000FF"/>
                <w:w w:val="86"/>
              </w:rPr>
              <w:t>408</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401(k)</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1"/>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1"/>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9"/>
              <w:spacing w:after="0"/>
              <w:rPr>
                <w:sz w:val="20"/>
                <w:szCs w:val="20"/>
                <w:color w:val="auto"/>
              </w:rPr>
            </w:pPr>
            <w:r>
              <w:rPr>
                <w:rFonts w:ascii="Arial" w:cs="Arial" w:eastAsia="Arial" w:hAnsi="Arial"/>
                <w:sz w:val="12"/>
                <w:szCs w:val="12"/>
                <w:b w:val="1"/>
                <w:bCs w:val="1"/>
                <w:color w:val="auto"/>
                <w:w w:val="99"/>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6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9"/>
              <w:spacing w:after="0" w:line="135" w:lineRule="exact"/>
              <w:rPr>
                <w:sz w:val="20"/>
                <w:szCs w:val="20"/>
                <w:color w:val="auto"/>
              </w:rPr>
            </w:pPr>
            <w:r>
              <w:rPr>
                <w:rFonts w:ascii="Arial" w:cs="Arial" w:eastAsia="Arial" w:hAnsi="Arial"/>
                <w:sz w:val="12"/>
                <w:szCs w:val="12"/>
                <w:b w:val="1"/>
                <w:bCs w:val="1"/>
                <w:color w:val="auto"/>
                <w:w w:val="93"/>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680" w:type="dxa"/>
            <w:vAlign w:val="bottom"/>
            <w:gridSpan w:val="2"/>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00"/>
              <w:spacing w:after="0"/>
              <w:rPr>
                <w:sz w:val="20"/>
                <w:szCs w:val="20"/>
                <w:color w:val="auto"/>
              </w:rPr>
            </w:pPr>
            <w:r>
              <w:rPr>
                <w:rFonts w:ascii="Arial" w:cs="Arial" w:eastAsia="Arial" w:hAnsi="Arial"/>
                <w:sz w:val="18"/>
                <w:szCs w:val="18"/>
                <w:color w:val="0000FF"/>
              </w:rPr>
              <w:t>270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vMerge w:val="restart"/>
          </w:tcPr>
          <w:p>
            <w:pPr>
              <w:ind w:left="440"/>
              <w:spacing w:after="0"/>
              <w:rPr>
                <w:sz w:val="20"/>
                <w:szCs w:val="20"/>
                <w:color w:val="auto"/>
              </w:rPr>
            </w:pPr>
            <w:r>
              <w:rPr>
                <w:rFonts w:ascii="Arial" w:cs="Arial" w:eastAsia="Arial" w:hAnsi="Arial"/>
                <w:sz w:val="14"/>
                <w:szCs w:val="14"/>
                <w:color w:val="0000FF"/>
              </w:rPr>
              <w:t>270</w:t>
            </w:r>
          </w:p>
        </w:tc>
        <w:tc>
          <w:tcPr>
            <w:tcW w:w="960" w:type="dxa"/>
            <w:vAlign w:val="bottom"/>
            <w:vMerge w:val="restart"/>
          </w:tcPr>
          <w:p>
            <w:pPr>
              <w:ind w:left="58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Shares</w:t>
            </w:r>
          </w:p>
        </w:tc>
        <w:tc>
          <w:tcPr>
            <w:tcW w:w="82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Phantom Shares are convertible into Common Shares on a 1 for 1 basis.</w:t>
      </w:r>
    </w:p>
    <w:p>
      <w:pPr>
        <w:spacing w:after="0" w:line="4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Shares are held in the Reporting Person's WTM deferred compensation account and are payable in cash upon the earlier of the date when the Reporting Person ceases to be an employee of the Company or a date certain selected by the Reporting Person.</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Jason R. Lichtenstein, By</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02/29/2008</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480" w:type="dxa"/>
            <w:vAlign w:val="bottom"/>
            <w:tcBorders>
              <w:top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480" w:type="dxa"/>
            <w:vAlign w:val="bottom"/>
            <w:tcBorders>
              <w:top w:val="single" w:sz="8" w:color="auto"/>
            </w:tcBorders>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40" w:top="226" w:right="17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Dennis P. Beaulieu, Secretary, of White Mountains Insurance Group, Ltd., and Jason R. Lichtenstein, Vice President &amp; Assistant General Counsel, and</w:t>
      </w:r>
    </w:p>
    <w:p>
      <w:pPr>
        <w:spacing w:after="0" w:line="1" w:lineRule="exact"/>
        <w:rPr>
          <w:sz w:val="20"/>
          <w:szCs w:val="20"/>
          <w:color w:val="auto"/>
        </w:rPr>
      </w:pPr>
    </w:p>
    <w:p>
      <w:pPr>
        <w:ind w:right="4199"/>
        <w:spacing w:after="0" w:line="236" w:lineRule="auto"/>
        <w:rPr>
          <w:sz w:val="20"/>
          <w:szCs w:val="20"/>
          <w:color w:val="auto"/>
        </w:rPr>
      </w:pPr>
      <w:r>
        <w:rPr>
          <w:rFonts w:ascii="Courier New" w:cs="Courier New" w:eastAsia="Courier New" w:hAnsi="Courier New"/>
          <w:sz w:val="18"/>
          <w:szCs w:val="18"/>
          <w:color w:val="auto"/>
        </w:rPr>
        <w:t>Michael S. Paquette, Vice President, of White Mountains Capital, Inc., signing singly, the undersigned's true and lawful attorney-in-fact to:</w:t>
      </w:r>
    </w:p>
    <w:p>
      <w:pPr>
        <w:spacing w:after="0" w:line="6"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22nd day of February 2007.</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Charles B. Chokel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8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2019-12-18T12:48:24Z</dcterms:created>
  <dcterms:modified xsi:type="dcterms:W3CDTF">2019-12-18T12:48:24Z</dcterms:modified>
</cp:coreProperties>
</file>