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FORM 10-Q </w:t>
      </w:r>
    </w:p>
    <w:p>
      <w:pPr>
        <w:pStyle w:val="TextBody"/>
        <w:bidi w:val="0"/>
        <w:spacing w:lineRule="auto" w:line="288" w:before="0" w:after="0"/>
        <w:jc w:val="center"/>
        <w:rPr/>
      </w:pPr>
      <w:r>
        <w:rPr>
          <w:color w:val="000000"/>
        </w:rPr>
        <w:t xml:space="preserve">☒    </w:t>
      </w:r>
      <w:r>
        <w:rPr>
          <w:rFonts w:ascii="Times New Roman;serif" w:hAnsi="Times New Roman;serif"/>
          <w:b/>
          <w:color w:val="000000"/>
          <w:sz w:val="24"/>
        </w:rPr>
        <w:t>QUARTERLY REPORT PURSUANT TO SECTION 13 OR 15(d) OF THE</w:t>
      </w:r>
      <w:r>
        <w:rPr>
          <w:color w:val="000000"/>
        </w:rPr>
        <w:t xml:space="preserve"> </w:t>
      </w:r>
      <w:r>
        <w:rPr>
          <w:rFonts w:ascii="Times New Roman;serif" w:hAnsi="Times New Roman;serif"/>
          <w:b/>
          <w:color w:val="000000"/>
          <w:sz w:val="24"/>
        </w:rPr>
        <w:t>SECURITIES EXCHANGE ACT OF 1934</w:t>
      </w:r>
    </w:p>
    <w:p>
      <w:pPr>
        <w:pStyle w:val="TextBody"/>
        <w:bidi w:val="0"/>
        <w:spacing w:lineRule="auto" w:line="288" w:before="0" w:after="0"/>
        <w:jc w:val="left"/>
        <w:rPr>
          <w:color w:val="000000"/>
        </w:rPr>
      </w:pPr>
      <w:r>
        <w:rPr>
          <w:color w:val="000000"/>
        </w:rPr>
        <w:t xml:space="preserve">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 the period ended June 30, 2026</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pPr>
      <w:r>
        <w:rPr>
          <w:color w:val="000000"/>
        </w:rPr>
        <w:t xml:space="preserve">☐         </w:t>
      </w:r>
      <w:r>
        <w:rPr>
          <w:rFonts w:ascii="Times New Roman;serif" w:hAnsi="Times New Roman;serif"/>
          <w:b/>
          <w:color w:val="000000"/>
          <w:sz w:val="24"/>
        </w:rPr>
        <w:t>TRANSITION REPORT PURSUANT TO SECTION 13 OR 15(d) OF THE</w:t>
      </w:r>
      <w:r>
        <w:rPr>
          <w:color w:val="000000"/>
        </w:rPr>
        <w:t xml:space="preserve"> </w:t>
      </w:r>
      <w:r>
        <w:rPr>
          <w:rFonts w:ascii="Times New Roman;serif" w:hAnsi="Times New Roman;serif"/>
          <w:b/>
          <w:color w:val="000000"/>
          <w:sz w:val="24"/>
        </w:rPr>
        <w:t>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1-8993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WHITE MOUNTAINS INSURANCE GROUP, LTD.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321" w:type="dxa"/>
        <w:jc w:val="left"/>
        <w:tblInd w:w="0" w:type="dxa"/>
        <w:tblLayout w:type="fixed"/>
        <w:tblCellMar>
          <w:top w:w="28" w:type="dxa"/>
          <w:left w:w="28" w:type="dxa"/>
          <w:bottom w:w="28" w:type="dxa"/>
          <w:right w:w="28" w:type="dxa"/>
        </w:tblCellMar>
      </w:tblPr>
      <w:tblGrid>
        <w:gridCol w:w="1799"/>
        <w:gridCol w:w="1577"/>
        <w:gridCol w:w="1589"/>
        <w:gridCol w:w="109"/>
        <w:gridCol w:w="109"/>
        <w:gridCol w:w="109"/>
        <w:gridCol w:w="884"/>
        <w:gridCol w:w="884"/>
        <w:gridCol w:w="1261"/>
      </w:tblGrid>
      <w:tr>
        <w:trPr/>
        <w:tc>
          <w:tcPr>
            <w:tcW w:w="1799"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Bermuda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94-2708455</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23 South Main Street, Suite 3B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Hanover,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03755-2053</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Hampshire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 xml:space="preserve">(603) 640-2200 </w:t>
      </w:r>
    </w:p>
    <w:p>
      <w:pPr>
        <w:pStyle w:val="TextBody"/>
        <w:bidi w:val="0"/>
        <w:spacing w:lineRule="auto" w:line="288" w:before="120" w:after="283"/>
        <w:jc w:val="center"/>
        <w:rPr/>
      </w:pPr>
      <w:r>
        <w:rPr>
          <w:color w:val="000000"/>
        </w:rPr>
        <w:t> </w:t>
      </w:r>
      <w:r>
        <w:rPr>
          <w:rFonts w:ascii="Times New Roman;serif" w:hAnsi="Times New Roman;serif"/>
          <w:b w:val="false"/>
          <w:color w:val="000000"/>
          <w:sz w:val="20"/>
        </w:rPr>
        <w:t>Securities registered pursuant to Section 12(b) of the Act:</w:t>
      </w:r>
    </w:p>
    <w:tbl>
      <w:tblPr>
        <w:tblW w:w="8978" w:type="dxa"/>
        <w:jc w:val="center"/>
        <w:tblInd w:w="0" w:type="dxa"/>
        <w:tblLayout w:type="fixed"/>
        <w:tblCellMar>
          <w:top w:w="28" w:type="dxa"/>
          <w:left w:w="28" w:type="dxa"/>
          <w:bottom w:w="28" w:type="dxa"/>
          <w:right w:w="28" w:type="dxa"/>
        </w:tblCellMar>
      </w:tblPr>
      <w:tblGrid>
        <w:gridCol w:w="1288"/>
        <w:gridCol w:w="1130"/>
        <w:gridCol w:w="1136"/>
        <w:gridCol w:w="109"/>
        <w:gridCol w:w="109"/>
        <w:gridCol w:w="109"/>
        <w:gridCol w:w="484"/>
        <w:gridCol w:w="484"/>
        <w:gridCol w:w="486"/>
        <w:gridCol w:w="109"/>
        <w:gridCol w:w="109"/>
        <w:gridCol w:w="109"/>
        <w:gridCol w:w="971"/>
        <w:gridCol w:w="971"/>
        <w:gridCol w:w="1374"/>
      </w:tblGrid>
      <w:tr>
        <w:trPr/>
        <w:tc>
          <w:tcPr>
            <w:tcW w:w="1288"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5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Shares, par value $1.00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3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WTM.BH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Bermuda Stock Exchange</w:t>
            </w:r>
          </w:p>
        </w:tc>
      </w:tr>
    </w:tbl>
    <w:p>
      <w:pPr>
        <w:pStyle w:val="TextBody"/>
        <w:bidi w:val="0"/>
        <w:spacing w:lineRule="auto" w:line="288" w:before="60" w:after="283"/>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 xml:space="preserve">☐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    </w:t>
      </w:r>
      <w:r>
        <w:rPr>
          <w:rFonts w:ascii="Times New Roman;serif" w:hAnsi="Times New Roman;serif"/>
          <w:b w:val="false"/>
          <w:color w:val="000000"/>
          <w:sz w:val="20"/>
        </w:rPr>
        <w:t>No   </w:t>
      </w:r>
      <w:r>
        <w:rPr>
          <w:color w:val="000000"/>
        </w:rPr>
        <w:t xml:space="preserve">☐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7266"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239"/>
        <w:gridCol w:w="239"/>
        <w:gridCol w:w="239"/>
        <w:gridCol w:w="239"/>
        <w:gridCol w:w="239"/>
        <w:gridCol w:w="244"/>
        <w:gridCol w:w="205"/>
        <w:gridCol w:w="205"/>
        <w:gridCol w:w="205"/>
        <w:gridCol w:w="564"/>
        <w:gridCol w:w="564"/>
        <w:gridCol w:w="564"/>
        <w:gridCol w:w="299"/>
        <w:gridCol w:w="299"/>
        <w:gridCol w:w="304"/>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439"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594"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963" w:type="dxa"/>
            <w:gridSpan w:val="9"/>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07"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0" w:after="0"/>
        <w:ind w:left="0" w:right="0" w:firstLine="27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Indicate by check mark whether the Registrant is a shell company (as defined in Rule 12b-2 of the Exchange Act). Yes  ☐   No  </w:t>
      </w:r>
      <w:r>
        <w:rPr>
          <w:color w:val="00000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August 3, 2026, 2,386,721 common shares with a par value of $1.00 per share were outstanding (which includes 31,665 restricted common shares that were not vested at such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WHITE MOUNTAINS INSURANCE GROUP, LTD.</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9421" w:type="dxa"/>
        <w:jc w:val="left"/>
        <w:tblInd w:w="0" w:type="dxa"/>
        <w:tblLayout w:type="fixed"/>
        <w:tblCellMar>
          <w:top w:w="28" w:type="dxa"/>
          <w:left w:w="28" w:type="dxa"/>
          <w:bottom w:w="28" w:type="dxa"/>
          <w:right w:w="28" w:type="dxa"/>
        </w:tblCellMar>
      </w:tblPr>
      <w:tblGrid>
        <w:gridCol w:w="321"/>
        <w:gridCol w:w="281"/>
        <w:gridCol w:w="284"/>
        <w:gridCol w:w="2573"/>
        <w:gridCol w:w="2573"/>
        <w:gridCol w:w="2578"/>
        <w:gridCol w:w="237"/>
        <w:gridCol w:w="237"/>
        <w:gridCol w:w="337"/>
      </w:tblGrid>
      <w:tr>
        <w:trPr/>
        <w:tc>
          <w:tcPr>
            <w:tcW w:w="32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573" w:type="dxa"/>
            <w:tcBorders/>
            <w:vAlign w:val="center"/>
          </w:tcPr>
          <w:p>
            <w:pPr>
              <w:pStyle w:val="TableContents"/>
              <w:bidi w:val="0"/>
              <w:spacing w:before="0" w:after="283"/>
              <w:jc w:val="left"/>
              <w:rPr>
                <w:sz w:val="4"/>
                <w:szCs w:val="4"/>
              </w:rPr>
            </w:pPr>
            <w:r>
              <w:rPr>
                <w:sz w:val="4"/>
                <w:szCs w:val="4"/>
              </w:rPr>
            </w:r>
          </w:p>
        </w:tc>
        <w:tc>
          <w:tcPr>
            <w:tcW w:w="2573" w:type="dxa"/>
            <w:tcBorders/>
            <w:vAlign w:val="center"/>
          </w:tcPr>
          <w:p>
            <w:pPr>
              <w:pStyle w:val="TableContents"/>
              <w:bidi w:val="0"/>
              <w:spacing w:before="0" w:after="283"/>
              <w:jc w:val="left"/>
              <w:rPr>
                <w:sz w:val="4"/>
                <w:szCs w:val="4"/>
              </w:rPr>
            </w:pPr>
            <w:r>
              <w:rPr>
                <w:sz w:val="4"/>
                <w:szCs w:val="4"/>
              </w:rPr>
            </w:r>
          </w:p>
        </w:tc>
        <w:tc>
          <w:tcPr>
            <w:tcW w:w="257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333333"/>
                <w:sz w:val="16"/>
              </w:rPr>
            </w:pPr>
            <w:r>
              <w:rPr>
                <w:rFonts w:ascii="Times New Roman;serif" w:hAnsi="Times New Roman;serif"/>
                <w:b/>
                <w:color w:val="333333"/>
                <w:sz w:val="16"/>
              </w:rPr>
              <w:t>Page No.</w:t>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b6a78c08cc435986c2cd9f5808536f_10">
              <w:r>
                <w:rPr>
                  <w:rStyle w:val="InternetLink"/>
                  <w:rFonts w:ascii="Times New Roman;serif" w:hAnsi="Times New Roman;serif"/>
                  <w:b/>
                  <w:strike w:val="false"/>
                  <w:dstrike w:val="false"/>
                  <w:color w:val="333333"/>
                  <w:sz w:val="20"/>
                  <w:u w:val="none"/>
                  <w:effect w:val="none"/>
                </w:rPr>
                <w:t>PART I.</w:t>
              </w:r>
            </w:hyperlink>
          </w:p>
        </w:tc>
        <w:tc>
          <w:tcPr>
            <w:tcW w:w="7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b6a78c08cc435986c2cd9f5808536f_10">
              <w:r>
                <w:rPr>
                  <w:rStyle w:val="InternetLink"/>
                  <w:rFonts w:ascii="Times New Roman;serif" w:hAnsi="Times New Roman;serif"/>
                  <w:b/>
                  <w:strike w:val="false"/>
                  <w:dstrike w:val="false"/>
                  <w:color w:val="333333"/>
                  <w:sz w:val="20"/>
                  <w:u w:val="none"/>
                  <w:effect w:val="none"/>
                </w:rPr>
                <w:t>FINANCIAL INFORMATION</w:t>
              </w:r>
            </w:hyperlink>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b6a78c08cc435986c2cd9f5808536f_13">
              <w:r>
                <w:rPr>
                  <w:rStyle w:val="InternetLink"/>
                  <w:rFonts w:ascii="Times New Roman;serif" w:hAnsi="Times New Roman;serif"/>
                  <w:b/>
                  <w:strike w:val="false"/>
                  <w:dstrike w:val="false"/>
                  <w:color w:val="333333"/>
                  <w:sz w:val="20"/>
                  <w:u w:val="none"/>
                  <w:effect w:val="none"/>
                </w:rPr>
                <w:t>Item 1.</w:t>
              </w:r>
            </w:hyperlink>
          </w:p>
        </w:tc>
        <w:tc>
          <w:tcPr>
            <w:tcW w:w="7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b6a78c08cc435986c2cd9f5808536f_13">
              <w:r>
                <w:rPr>
                  <w:rStyle w:val="InternetLink"/>
                  <w:rFonts w:ascii="Times New Roman;serif" w:hAnsi="Times New Roman;serif"/>
                  <w:b/>
                  <w:strike w:val="false"/>
                  <w:dstrike w:val="false"/>
                  <w:color w:val="333333"/>
                  <w:sz w:val="20"/>
                  <w:u w:val="none"/>
                  <w:effect w:val="none"/>
                </w:rPr>
                <w:t>Financial Statements (Unaudited)</w:t>
              </w:r>
            </w:hyperlink>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b6a78c08cc435986c2cd9f5808536f_16">
              <w:r>
                <w:rPr>
                  <w:rStyle w:val="InternetLink"/>
                  <w:rFonts w:ascii="Times New Roman;serif" w:hAnsi="Times New Roman;serif"/>
                  <w:b w:val="false"/>
                  <w:strike w:val="false"/>
                  <w:dstrike w:val="false"/>
                  <w:color w:val="000000"/>
                  <w:sz w:val="20"/>
                  <w:u w:val="none"/>
                  <w:effect w:val="none"/>
                </w:rPr>
                <w:t xml:space="preserve">Consolidated Balance Sheets, </w:t>
              </w:r>
            </w:hyperlink>
            <w:r>
              <w:rPr>
                <w:rFonts w:ascii="Times New Roman;serif" w:hAnsi="Times New Roman;serif"/>
                <w:b w:val="false"/>
                <w:color w:val="000000"/>
                <w:sz w:val="20"/>
              </w:rPr>
              <w:t>June 30, 2026</w:t>
            </w:r>
            <w:hyperlink w:anchor="if3b6a78c08cc435986c2cd9f5808536f_16">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December 31, 2025</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3b6a78c08cc435986c2cd9f5808536f_16">
              <w:r>
                <w:rPr>
                  <w:rStyle w:val="InternetLink"/>
                  <w:rFonts w:ascii="Times New Roman;serif" w:hAnsi="Times New Roman;serif"/>
                  <w:b w:val="false"/>
                  <w:strike w:val="false"/>
                  <w:dstrike w:val="false"/>
                  <w:color w:val="333333"/>
                  <w:sz w:val="20"/>
                  <w:u w:val="none"/>
                  <w:effect w:val="none"/>
                </w:rPr>
                <w:t>1</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b6a78c08cc435986c2cd9f5808536f_19">
              <w:r>
                <w:rPr>
                  <w:rStyle w:val="InternetLink"/>
                  <w:rFonts w:ascii="Times New Roman;serif" w:hAnsi="Times New Roman;serif"/>
                  <w:b w:val="false"/>
                  <w:strike w:val="false"/>
                  <w:dstrike w:val="false"/>
                  <w:color w:val="000000"/>
                  <w:sz w:val="20"/>
                  <w:u w:val="none"/>
                  <w:effect w:val="none"/>
                </w:rPr>
                <w:t>Consolidated Statements of Operations,</w:t>
              </w:r>
            </w:hyperlink>
            <w:r>
              <w:rPr>
                <w:rFonts w:ascii="Times New Roman;serif" w:hAnsi="Times New Roman;serif"/>
                <w:b w:val="false"/>
                <w:color w:val="000000"/>
                <w:sz w:val="20"/>
              </w:rPr>
              <w:t xml:space="preserve"> Three and Six Months Ended June 30, 2026 and 2025</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3b6a78c08cc435986c2cd9f5808536f_19">
              <w:r>
                <w:rPr>
                  <w:rStyle w:val="InternetLink"/>
                  <w:rFonts w:ascii="Times New Roman;serif" w:hAnsi="Times New Roman;serif"/>
                  <w:b w:val="false"/>
                  <w:strike w:val="false"/>
                  <w:dstrike w:val="false"/>
                  <w:color w:val="333333"/>
                  <w:sz w:val="20"/>
                  <w:u w:val="none"/>
                  <w:effect w:val="none"/>
                </w:rPr>
                <w:t>3</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b6a78c08cc435986c2cd9f5808536f_22">
              <w:r>
                <w:rPr>
                  <w:rStyle w:val="InternetLink"/>
                  <w:rFonts w:ascii="Times New Roman;serif" w:hAnsi="Times New Roman;serif"/>
                  <w:b w:val="false"/>
                  <w:strike w:val="false"/>
                  <w:dstrike w:val="false"/>
                  <w:color w:val="000000"/>
                  <w:sz w:val="20"/>
                  <w:u w:val="none"/>
                  <w:effect w:val="none"/>
                </w:rPr>
                <w:t>Consolidated Statements of Comprehensive Income,</w:t>
              </w:r>
            </w:hyperlink>
            <w:r>
              <w:rPr>
                <w:rFonts w:ascii="Times New Roman;serif" w:hAnsi="Times New Roman;serif"/>
                <w:b w:val="false"/>
                <w:color w:val="000000"/>
                <w:sz w:val="20"/>
              </w:rPr>
              <w:t xml:space="preserve"> Three and Six Months Ended </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June 30, 2026 and 2025</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3b6a78c08cc435986c2cd9f5808536f_22">
              <w:r>
                <w:rPr>
                  <w:rStyle w:val="InternetLink"/>
                  <w:rFonts w:ascii="Times New Roman;serif" w:hAnsi="Times New Roman;serif"/>
                  <w:b w:val="false"/>
                  <w:strike w:val="false"/>
                  <w:dstrike w:val="false"/>
                  <w:color w:val="333333"/>
                  <w:sz w:val="20"/>
                  <w:u w:val="none"/>
                  <w:effect w:val="none"/>
                </w:rPr>
                <w:t>5</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b6a78c08cc435986c2cd9f5808536f_28">
              <w:r>
                <w:rPr>
                  <w:rStyle w:val="InternetLink"/>
                  <w:rFonts w:ascii="Times New Roman;serif" w:hAnsi="Times New Roman;serif"/>
                  <w:b w:val="false"/>
                  <w:strike w:val="false"/>
                  <w:dstrike w:val="false"/>
                  <w:color w:val="000000"/>
                  <w:sz w:val="20"/>
                  <w:u w:val="none"/>
                  <w:effect w:val="none"/>
                </w:rPr>
                <w:t xml:space="preserve">Consolidated Statements of Changes in Equity, </w:t>
              </w:r>
            </w:hyperlink>
            <w:r>
              <w:rPr>
                <w:rFonts w:ascii="Times New Roman;serif" w:hAnsi="Times New Roman;serif"/>
                <w:b w:val="false"/>
                <w:color w:val="000000"/>
                <w:sz w:val="20"/>
              </w:rPr>
              <w:t xml:space="preserve">Three and Six Months Ended </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June 30, 2026 and 2025</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3b6a78c08cc435986c2cd9f5808536f_25">
              <w:r>
                <w:rPr>
                  <w:rStyle w:val="InternetLink"/>
                  <w:rFonts w:ascii="Times New Roman;serif" w:hAnsi="Times New Roman;serif"/>
                  <w:b w:val="false"/>
                  <w:strike w:val="false"/>
                  <w:dstrike w:val="false"/>
                  <w:color w:val="333333"/>
                  <w:sz w:val="20"/>
                  <w:u w:val="none"/>
                  <w:effect w:val="none"/>
                </w:rPr>
                <w:t>6</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b6a78c08cc435986c2cd9f5808536f_31">
              <w:r>
                <w:rPr>
                  <w:rStyle w:val="InternetLink"/>
                  <w:rFonts w:ascii="Times New Roman;serif" w:hAnsi="Times New Roman;serif"/>
                  <w:b w:val="false"/>
                  <w:strike w:val="false"/>
                  <w:dstrike w:val="false"/>
                  <w:color w:val="000000"/>
                  <w:sz w:val="20"/>
                  <w:u w:val="none"/>
                  <w:effect w:val="none"/>
                </w:rPr>
                <w:t xml:space="preserve">Consolidated Statements of Cash Flows, </w:t>
              </w:r>
            </w:hyperlink>
            <w:r>
              <w:rPr>
                <w:rFonts w:ascii="Times New Roman;serif" w:hAnsi="Times New Roman;serif"/>
                <w:b w:val="false"/>
                <w:color w:val="000000"/>
                <w:sz w:val="20"/>
              </w:rPr>
              <w:t>Six Months Ended June 30, 2026</w:t>
            </w:r>
            <w:hyperlink w:anchor="if3b6a78c08cc435986c2cd9f5808536f_31">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2025</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3b6a78c08cc435986c2cd9f5808536f_31">
              <w:r>
                <w:rPr>
                  <w:rStyle w:val="InternetLink"/>
                  <w:rFonts w:ascii="Times New Roman;serif" w:hAnsi="Times New Roman;serif"/>
                  <w:b w:val="false"/>
                  <w:strike w:val="false"/>
                  <w:dstrike w:val="false"/>
                  <w:color w:val="333333"/>
                  <w:sz w:val="20"/>
                  <w:u w:val="none"/>
                  <w:effect w:val="none"/>
                </w:rPr>
                <w:t>8</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b6a78c08cc435986c2cd9f5808536f_37">
              <w:r>
                <w:rPr>
                  <w:rStyle w:val="InternetLink"/>
                  <w:rFonts w:ascii="Times New Roman;serif" w:hAnsi="Times New Roman;serif"/>
                  <w:b w:val="false"/>
                  <w:strike w:val="false"/>
                  <w:dstrike w:val="false"/>
                  <w:color w:val="000000"/>
                  <w:sz w:val="20"/>
                  <w:u w:val="none"/>
                  <w:effect w:val="none"/>
                </w:rPr>
                <w:t>Notes to Consolidated Financial Statements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3b6a78c08cc435986c2cd9f5808536f_37">
              <w:r>
                <w:rPr>
                  <w:rStyle w:val="InternetLink"/>
                  <w:rFonts w:ascii="Times New Roman;serif" w:hAnsi="Times New Roman;serif"/>
                  <w:b w:val="false"/>
                  <w:strike w:val="false"/>
                  <w:dstrike w:val="false"/>
                  <w:color w:val="333333"/>
                  <w:sz w:val="20"/>
                  <w:u w:val="none"/>
                  <w:effect w:val="none"/>
                </w:rPr>
                <w:t>9</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b6a78c08cc435986c2cd9f5808536f_130">
              <w:r>
                <w:rPr>
                  <w:rStyle w:val="InternetLink"/>
                  <w:rFonts w:ascii="Times New Roman;serif" w:hAnsi="Times New Roman;serif"/>
                  <w:b/>
                  <w:strike w:val="false"/>
                  <w:dstrike w:val="false"/>
                  <w:color w:val="000000"/>
                  <w:sz w:val="20"/>
                  <w:u w:val="none"/>
                  <w:effect w:val="none"/>
                </w:rPr>
                <w:t>Item 2.</w:t>
              </w:r>
            </w:hyperlink>
          </w:p>
        </w:tc>
        <w:tc>
          <w:tcPr>
            <w:tcW w:w="7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b6a78c08cc435986c2cd9f5808536f_130">
              <w:r>
                <w:rPr>
                  <w:rStyle w:val="InternetLink"/>
                  <w:rFonts w:ascii="Times New Roman;serif" w:hAnsi="Times New Roman;serif"/>
                  <w:b/>
                  <w:strike w:val="false"/>
                  <w:dstrike w:val="false"/>
                  <w:color w:val="000000"/>
                  <w:sz w:val="20"/>
                  <w:u w:val="none"/>
                  <w:effect w:val="none"/>
                </w:rPr>
                <w:t>Management’s Discussion and Analysis of Financial Condition and Results of Operations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3b6a78c08cc435986c2cd9f5808536f_130">
              <w:r>
                <w:rPr>
                  <w:rStyle w:val="InternetLink"/>
                  <w:rFonts w:ascii="Times New Roman;serif" w:hAnsi="Times New Roman;serif"/>
                  <w:b w:val="false"/>
                  <w:strike w:val="false"/>
                  <w:dstrike w:val="false"/>
                  <w:color w:val="333333"/>
                  <w:sz w:val="20"/>
                  <w:u w:val="none"/>
                  <w:effect w:val="none"/>
                </w:rPr>
                <w:t>53</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b6a78c08cc435986c2cd9f5808536f_133">
              <w:r>
                <w:rPr>
                  <w:rStyle w:val="InternetLink"/>
                  <w:rFonts w:ascii="Times New Roman;serif" w:hAnsi="Times New Roman;serif"/>
                  <w:b w:val="false"/>
                  <w:strike w:val="false"/>
                  <w:dstrike w:val="false"/>
                  <w:color w:val="000000"/>
                  <w:sz w:val="20"/>
                  <w:u w:val="none"/>
                  <w:effect w:val="none"/>
                </w:rPr>
                <w:t xml:space="preserve">Results of Operations for the </w:t>
              </w:r>
            </w:hyperlink>
            <w:r>
              <w:rPr>
                <w:rFonts w:ascii="Times New Roman;serif" w:hAnsi="Times New Roman;serif"/>
                <w:b w:val="false"/>
                <w:color w:val="000000"/>
                <w:sz w:val="20"/>
              </w:rPr>
              <w:t>Three and Six Months Ended June 30, 2026</w:t>
            </w:r>
            <w:hyperlink w:anchor="if3b6a78c08cc435986c2cd9f5808536f_133">
              <w:r>
                <w:rPr>
                  <w:rStyle w:val="InternetLink"/>
                  <w:rFonts w:ascii="Times New Roman;serif" w:hAnsi="Times New Roman;serif"/>
                  <w:b w:val="false"/>
                  <w:strike w:val="false"/>
                  <w:dstrike w:val="false"/>
                  <w:color w:val="000000"/>
                  <w:sz w:val="20"/>
                  <w:u w:val="none"/>
                  <w:effect w:val="none"/>
                </w:rPr>
                <w:t xml:space="preserve"> and </w:t>
              </w:r>
            </w:hyperlink>
            <w:r>
              <w:rPr>
                <w:rFonts w:ascii="Times New Roman;serif" w:hAnsi="Times New Roman;serif"/>
                <w:b w:val="false"/>
                <w:color w:val="000000"/>
                <w:sz w:val="20"/>
              </w:rPr>
              <w:t>2025</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3b6a78c08cc435986c2cd9f5808536f_133">
              <w:r>
                <w:rPr>
                  <w:rStyle w:val="InternetLink"/>
                  <w:rFonts w:ascii="Times New Roman;serif" w:hAnsi="Times New Roman;serif"/>
                  <w:b w:val="false"/>
                  <w:strike w:val="false"/>
                  <w:dstrike w:val="false"/>
                  <w:color w:val="333333"/>
                  <w:sz w:val="20"/>
                  <w:u w:val="none"/>
                  <w:effect w:val="none"/>
                </w:rPr>
                <w:t>53</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b6a78c08cc435986c2cd9f5808536f_187">
              <w:r>
                <w:rPr>
                  <w:rStyle w:val="InternetLink"/>
                  <w:rFonts w:ascii="Times New Roman;serif" w:hAnsi="Times New Roman;serif"/>
                  <w:b w:val="false"/>
                  <w:strike w:val="false"/>
                  <w:dstrike w:val="false"/>
                  <w:color w:val="000000"/>
                  <w:sz w:val="20"/>
                  <w:u w:val="none"/>
                  <w:effect w:val="none"/>
                </w:rPr>
                <w:t>Liquidity and Capital Resources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3b6a78c08cc435986c2cd9f5808536f_187">
              <w:r>
                <w:rPr>
                  <w:rStyle w:val="InternetLink"/>
                  <w:rFonts w:ascii="Times New Roman;serif" w:hAnsi="Times New Roman;serif"/>
                  <w:b w:val="false"/>
                  <w:strike w:val="false"/>
                  <w:dstrike w:val="false"/>
                  <w:color w:val="333333"/>
                  <w:sz w:val="20"/>
                  <w:u w:val="none"/>
                  <w:effect w:val="none"/>
                </w:rPr>
                <w:t>83</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b6a78c08cc435986c2cd9f5808536f_190">
              <w:r>
                <w:rPr>
                  <w:rStyle w:val="InternetLink"/>
                  <w:rFonts w:ascii="Times New Roman;serif" w:hAnsi="Times New Roman;serif"/>
                  <w:b w:val="false"/>
                  <w:strike w:val="false"/>
                  <w:dstrike w:val="false"/>
                  <w:color w:val="000000"/>
                  <w:sz w:val="20"/>
                  <w:u w:val="none"/>
                  <w:effect w:val="none"/>
                </w:rPr>
                <w:t>Non-GAAP Financial Measures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3b6a78c08cc435986c2cd9f5808536f_190">
              <w:r>
                <w:rPr>
                  <w:rStyle w:val="InternetLink"/>
                  <w:rFonts w:ascii="Times New Roman;serif" w:hAnsi="Times New Roman;serif"/>
                  <w:b w:val="false"/>
                  <w:strike w:val="false"/>
                  <w:dstrike w:val="false"/>
                  <w:color w:val="333333"/>
                  <w:sz w:val="20"/>
                  <w:u w:val="none"/>
                  <w:effect w:val="none"/>
                </w:rPr>
                <w:t>87</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b6a78c08cc435986c2cd9f5808536f_193">
              <w:r>
                <w:rPr>
                  <w:rStyle w:val="InternetLink"/>
                  <w:rFonts w:ascii="Times New Roman;serif" w:hAnsi="Times New Roman;serif"/>
                  <w:b w:val="false"/>
                  <w:strike w:val="false"/>
                  <w:dstrike w:val="false"/>
                  <w:color w:val="000000"/>
                  <w:sz w:val="20"/>
                  <w:u w:val="none"/>
                  <w:effect w:val="none"/>
                </w:rPr>
                <w:t>Critical Accounting Estimates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3b6a78c08cc435986c2cd9f5808536f_193">
              <w:r>
                <w:rPr>
                  <w:rStyle w:val="InternetLink"/>
                  <w:rFonts w:ascii="Times New Roman;serif" w:hAnsi="Times New Roman;serif"/>
                  <w:b w:val="false"/>
                  <w:strike w:val="false"/>
                  <w:dstrike w:val="false"/>
                  <w:color w:val="000000"/>
                  <w:sz w:val="20"/>
                  <w:u w:val="none"/>
                  <w:effect w:val="none"/>
                </w:rPr>
                <w:t>88</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b6a78c08cc435986c2cd9f5808536f_196">
              <w:r>
                <w:rPr>
                  <w:rStyle w:val="InternetLink"/>
                  <w:rFonts w:ascii="Times New Roman;serif" w:hAnsi="Times New Roman;serif"/>
                  <w:b w:val="false"/>
                  <w:strike w:val="false"/>
                  <w:dstrike w:val="false"/>
                  <w:color w:val="000000"/>
                  <w:sz w:val="20"/>
                  <w:u w:val="none"/>
                  <w:effect w:val="none"/>
                </w:rPr>
                <w:t>Forward-Looking Statements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3b6a78c08cc435986c2cd9f5808536f_196">
              <w:r>
                <w:rPr>
                  <w:rStyle w:val="InternetLink"/>
                  <w:rFonts w:ascii="Times New Roman;serif" w:hAnsi="Times New Roman;serif"/>
                  <w:b w:val="false"/>
                  <w:strike w:val="false"/>
                  <w:dstrike w:val="false"/>
                  <w:color w:val="333333"/>
                  <w:sz w:val="20"/>
                  <w:u w:val="none"/>
                  <w:effect w:val="none"/>
                </w:rPr>
                <w:t>89</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b6a78c08cc435986c2cd9f5808536f_199">
              <w:r>
                <w:rPr>
                  <w:rStyle w:val="InternetLink"/>
                  <w:rFonts w:ascii="Times New Roman;serif" w:hAnsi="Times New Roman;serif"/>
                  <w:b/>
                  <w:strike w:val="false"/>
                  <w:dstrike w:val="false"/>
                  <w:color w:val="000000"/>
                  <w:sz w:val="20"/>
                  <w:u w:val="none"/>
                  <w:effect w:val="none"/>
                </w:rPr>
                <w:t>Item 3.</w:t>
              </w:r>
            </w:hyperlink>
          </w:p>
        </w:tc>
        <w:tc>
          <w:tcPr>
            <w:tcW w:w="7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b6a78c08cc435986c2cd9f5808536f_199">
              <w:r>
                <w:rPr>
                  <w:rStyle w:val="InternetLink"/>
                  <w:rFonts w:ascii="Times New Roman;serif" w:hAnsi="Times New Roman;serif"/>
                  <w:b/>
                  <w:strike w:val="false"/>
                  <w:dstrike w:val="false"/>
                  <w:color w:val="000000"/>
                  <w:sz w:val="20"/>
                  <w:u w:val="none"/>
                  <w:effect w:val="none"/>
                </w:rPr>
                <w:t>Quantitative and Qualitative Disclosures About Market Risk</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3b6a78c08cc435986c2cd9f5808536f_199">
              <w:r>
                <w:rPr>
                  <w:rStyle w:val="InternetLink"/>
                  <w:rFonts w:ascii="Times New Roman;serif" w:hAnsi="Times New Roman;serif"/>
                  <w:b w:val="false"/>
                  <w:strike w:val="false"/>
                  <w:dstrike w:val="false"/>
                  <w:color w:val="333333"/>
                  <w:sz w:val="20"/>
                  <w:u w:val="none"/>
                  <w:effect w:val="none"/>
                </w:rPr>
                <w:t>89</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b6a78c08cc435986c2cd9f5808536f_202">
              <w:r>
                <w:rPr>
                  <w:rStyle w:val="InternetLink"/>
                  <w:rFonts w:ascii="Times New Roman;serif" w:hAnsi="Times New Roman;serif"/>
                  <w:b/>
                  <w:strike w:val="false"/>
                  <w:dstrike w:val="false"/>
                  <w:color w:val="000000"/>
                  <w:sz w:val="20"/>
                  <w:u w:val="none"/>
                  <w:effect w:val="none"/>
                </w:rPr>
                <w:t>Item 4.</w:t>
              </w:r>
            </w:hyperlink>
          </w:p>
        </w:tc>
        <w:tc>
          <w:tcPr>
            <w:tcW w:w="7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b6a78c08cc435986c2cd9f5808536f_202">
              <w:r>
                <w:rPr>
                  <w:rStyle w:val="InternetLink"/>
                  <w:rFonts w:ascii="Times New Roman;serif" w:hAnsi="Times New Roman;serif"/>
                  <w:b/>
                  <w:strike w:val="false"/>
                  <w:dstrike w:val="false"/>
                  <w:color w:val="000000"/>
                  <w:sz w:val="20"/>
                  <w:u w:val="none"/>
                  <w:effect w:val="none"/>
                </w:rPr>
                <w:t>Controls and Procedures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3b6a78c08cc435986c2cd9f5808536f_202">
              <w:r>
                <w:rPr>
                  <w:rStyle w:val="InternetLink"/>
                  <w:rFonts w:ascii="Times New Roman;serif" w:hAnsi="Times New Roman;serif"/>
                  <w:b w:val="false"/>
                  <w:strike w:val="false"/>
                  <w:dstrike w:val="false"/>
                  <w:color w:val="333333"/>
                  <w:sz w:val="20"/>
                  <w:u w:val="none"/>
                  <w:effect w:val="none"/>
                </w:rPr>
                <w:t>90</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b6a78c08cc435986c2cd9f5808536f_205">
              <w:r>
                <w:rPr>
                  <w:rStyle w:val="InternetLink"/>
                  <w:rFonts w:ascii="Times New Roman;serif" w:hAnsi="Times New Roman;serif"/>
                  <w:b/>
                  <w:strike w:val="false"/>
                  <w:dstrike w:val="false"/>
                  <w:color w:val="000000"/>
                  <w:sz w:val="20"/>
                  <w:u w:val="none"/>
                  <w:effect w:val="none"/>
                </w:rPr>
                <w:t>PART II.</w:t>
              </w:r>
            </w:hyperlink>
          </w:p>
        </w:tc>
        <w:tc>
          <w:tcPr>
            <w:tcW w:w="77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3b6a78c08cc435986c2cd9f5808536f_205">
              <w:r>
                <w:rPr>
                  <w:rStyle w:val="InternetLink"/>
                  <w:rFonts w:ascii="Times New Roman;serif" w:hAnsi="Times New Roman;serif"/>
                  <w:b/>
                  <w:strike w:val="false"/>
                  <w:dstrike w:val="false"/>
                  <w:color w:val="000000"/>
                  <w:sz w:val="20"/>
                  <w:u w:val="none"/>
                  <w:effect w:val="none"/>
                </w:rPr>
                <w:t>OTHER INFORMATION</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3b6a78c08cc435986c2cd9f5808536f_205">
              <w:r>
                <w:rPr>
                  <w:rStyle w:val="InternetLink"/>
                  <w:rFonts w:ascii="Times New Roman;serif" w:hAnsi="Times New Roman;serif"/>
                  <w:b w:val="false"/>
                  <w:strike w:val="false"/>
                  <w:dstrike w:val="false"/>
                  <w:color w:val="333333"/>
                  <w:sz w:val="20"/>
                  <w:u w:val="none"/>
                  <w:effect w:val="none"/>
                </w:rPr>
                <w:t>90</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1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3b6a78c08cc435986c2cd9f5808536f_208">
              <w:r>
                <w:rPr>
                  <w:rStyle w:val="InternetLink"/>
                  <w:rFonts w:ascii="Times New Roman;serif" w:hAnsi="Times New Roman;serif"/>
                  <w:b/>
                  <w:strike w:val="false"/>
                  <w:dstrike w:val="false"/>
                  <w:color w:val="000000"/>
                  <w:sz w:val="20"/>
                  <w:u w:val="none"/>
                  <w:effect w:val="none"/>
                </w:rPr>
                <w:t>Items 1 through 6.</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3b6a78c08cc435986c2cd9f5808536f_208">
              <w:r>
                <w:rPr>
                  <w:rStyle w:val="InternetLink"/>
                  <w:rFonts w:ascii="Times New Roman;serif" w:hAnsi="Times New Roman;serif"/>
                  <w:b w:val="false"/>
                  <w:strike w:val="false"/>
                  <w:dstrike w:val="false"/>
                  <w:color w:val="333333"/>
                  <w:sz w:val="20"/>
                  <w:u w:val="none"/>
                  <w:effect w:val="none"/>
                </w:rPr>
                <w:t>90</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61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f3b6a78c08cc435986c2cd9f5808536f_211">
              <w:r>
                <w:rPr>
                  <w:rStyle w:val="InternetLink"/>
                  <w:rFonts w:ascii="Times New Roman;serif" w:hAnsi="Times New Roman;serif"/>
                  <w:b/>
                  <w:strike w:val="false"/>
                  <w:dstrike w:val="false"/>
                  <w:color w:val="333333"/>
                  <w:sz w:val="20"/>
                  <w:u w:val="none"/>
                  <w:effect w:val="none"/>
                </w:rPr>
                <w:t>SIGNATURES</w:t>
              </w:r>
            </w:hyperlink>
          </w:p>
        </w:tc>
        <w:tc>
          <w:tcPr>
            <w:tcW w:w="8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3b6a78c08cc435986c2cd9f5808536f_211">
              <w:r>
                <w:rPr>
                  <w:rStyle w:val="InternetLink"/>
                  <w:rFonts w:ascii="Times New Roman;serif" w:hAnsi="Times New Roman;serif"/>
                  <w:b w:val="false"/>
                  <w:strike w:val="false"/>
                  <w:dstrike w:val="false"/>
                  <w:color w:val="333333"/>
                  <w:sz w:val="20"/>
                  <w:u w:val="none"/>
                  <w:effect w:val="none"/>
                </w:rPr>
                <w:t>91</w:t>
              </w:r>
            </w:hyperlink>
          </w:p>
        </w:tc>
      </w:tr>
    </w:tbl>
    <w:p>
      <w:pPr>
        <w:pStyle w:val="TextBody"/>
        <w:bidi w:val="0"/>
        <w:spacing w:before="100" w:after="283"/>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18"/>
        </w:rPr>
        <w:t>Part I.</w:t>
      </w:r>
      <w:r>
        <w:rPr>
          <w:rFonts w:ascii="Times New Roman;serif" w:hAnsi="Times New Roman;serif"/>
          <w:b/>
          <w:color w:val="000000"/>
          <w:sz w:val="18"/>
        </w:rPr>
        <w:t>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900"/>
        <w:jc w:val="left"/>
        <w:rPr>
          <w:rFonts w:ascii="Times New Roman;serif" w:hAnsi="Times New Roman;serif"/>
          <w:b/>
          <w:color w:val="000000"/>
          <w:sz w:val="18"/>
        </w:rPr>
      </w:pPr>
      <w:r>
        <w:rPr>
          <w:rFonts w:ascii="Times New Roman;serif" w:hAnsi="Times New Roman;serif"/>
          <w:b/>
          <w:color w:val="000000"/>
          <w:sz w:val="18"/>
        </w:rPr>
        <w:t>Item 1.Financial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WHITE MOUNTAINS INSURANCE GROUP, LTD.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BALANCE SHEETS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tbl>
      <w:tblPr>
        <w:tblW w:w="7441" w:type="dxa"/>
        <w:jc w:val="left"/>
        <w:tblInd w:w="0" w:type="dxa"/>
        <w:tblLayout w:type="fixed"/>
        <w:tblCellMar>
          <w:top w:w="28" w:type="dxa"/>
          <w:left w:w="28" w:type="dxa"/>
          <w:bottom w:w="28" w:type="dxa"/>
          <w:right w:w="28" w:type="dxa"/>
        </w:tblCellMar>
      </w:tblPr>
      <w:tblGrid>
        <w:gridCol w:w="1414"/>
        <w:gridCol w:w="1242"/>
        <w:gridCol w:w="1244"/>
        <w:gridCol w:w="109"/>
        <w:gridCol w:w="109"/>
        <w:gridCol w:w="109"/>
        <w:gridCol w:w="200"/>
        <w:gridCol w:w="814"/>
        <w:gridCol w:w="111"/>
        <w:gridCol w:w="109"/>
        <w:gridCol w:w="109"/>
        <w:gridCol w:w="109"/>
        <w:gridCol w:w="270"/>
        <w:gridCol w:w="1079"/>
        <w:gridCol w:w="150"/>
        <w:gridCol w:w="109"/>
        <w:gridCol w:w="154"/>
      </w:tblGrid>
      <w:tr>
        <w:trPr/>
        <w:tc>
          <w:tcPr>
            <w:tcW w:w="1414"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 except share and per share amounts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P&amp;C Insurance and Reinsurance (Ark/WM Outrigger)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Fixed maturity investments, at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1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2,011.9</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1,917.9 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Common equity securities, at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407.7</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452.3 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investments, at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536.9</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866.6 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long-term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769.0</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689.7 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3,725.5</w:t>
            </w:r>
            <w:r>
              <w:rPr>
                <w:color w:val="000000"/>
              </w:rPr>
              <w:t>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3,926.5 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16"/>
              </w:rPr>
            </w:pPr>
            <w:r>
              <w:rPr>
                <w:rFonts w:ascii="Times New Roman;serif" w:hAnsi="Times New Roman;serif"/>
                <w:b w:val="false"/>
                <w:color w:val="000000"/>
                <w:sz w:val="16"/>
              </w:rPr>
              <w:t>Cash (restricted $25.2 and $1.1)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91.5</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104.8 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Reinsurance recoverables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1,394.0</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836.1 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Insurance premiums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1,473.2</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848.4 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acquisition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327.9</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211.1 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 and other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292.5</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292.5 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265.6</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134.7 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P&amp;C Insurance and Reinsurance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7,570.2</w:t>
            </w:r>
            <w:r>
              <w:rPr>
                <w:color w:val="000000"/>
              </w:rPr>
              <w:t>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6,354.1 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Asset Management (Kudu)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Short-term investments, at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114.4</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Other long-term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1,344.6</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1,291.4 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1,459.0</w:t>
            </w:r>
            <w:r>
              <w:rPr>
                <w:color w:val="000000"/>
              </w:rPr>
              <w:t>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1,313.3 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34.5 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Accrued investment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21.6</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Goodwill and other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7.6</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7.3</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 Management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1,496.9</w:t>
            </w:r>
            <w:r>
              <w:rPr>
                <w:color w:val="000000"/>
              </w:rPr>
              <w:t>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1,402.3 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Financial Guarantee (HG Global)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Fixed maturity investments, at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715.1</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693.4 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investments, at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34.2</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90.8 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749.3</w:t>
            </w:r>
            <w:r>
              <w:rPr>
                <w:color w:val="000000"/>
              </w:rPr>
              <w:t>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784.2 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BAM Surplus Notes, at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352.8</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339.0 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Insurance premiums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9.8</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acquisition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98.5</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96.9 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70"/>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6.0</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Financial Guarantee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1,216.6</w:t>
            </w:r>
            <w:r>
              <w:rPr>
                <w:color w:val="000000"/>
              </w:rPr>
              <w:t>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1,236.8 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6"/>
              </w:rPr>
            </w:pPr>
            <w:r>
              <w:rPr>
                <w:rFonts w:ascii="Times New Roman;serif" w:hAnsi="Times New Roman;serif"/>
                <w:b/>
                <w:i/>
                <w:color w:val="000000"/>
                <w:sz w:val="16"/>
              </w:rPr>
              <w:t>Specialty Insurance Distribution (Distinguished)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investments, at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79.4</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94.0 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79.4</w:t>
            </w:r>
            <w:r>
              <w:rPr>
                <w:color w:val="000000"/>
              </w:rPr>
              <w:t>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94.0 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Cash (restricted $3.6 and $0.1)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4.1</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Premiums, commissions and fees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69.8</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 and other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565.1</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577.7 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26.4</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Specialty Insurance Distribution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744.8</w:t>
            </w:r>
            <w:r>
              <w:rPr>
                <w:color w:val="000000"/>
              </w:rPr>
              <w:t>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735.4 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Services, Industrial and Consumer (WTM Partners)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investments, at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w:t>
            </w:r>
            <w:r>
              <w:rPr>
                <w:color w:val="000000"/>
              </w:rPr>
              <w:t>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6.1</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78.8</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36.3</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 and other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269.6</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91.5 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43.5</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28.7 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Services, Industrial and Consumer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434.9</w:t>
            </w:r>
            <w:r>
              <w:rPr>
                <w:color w:val="000000"/>
              </w:rPr>
              <w:t>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182.4 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Other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Fixed maturity investments, at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312.9</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159.2 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Common equity securities, at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169.1</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Investment in MediaAlpha, at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224.5</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231.2 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Short-term investments, at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211.5</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806.9 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Other long-term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1,202.6</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977.4 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Total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2,120.6</w:t>
            </w:r>
            <w:r>
              <w:rPr>
                <w:color w:val="000000"/>
              </w:rPr>
              <w:t>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2,205.4 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24.2</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Goodwill and other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48.9</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50.8 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104.3</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95.9 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Assets held for sale -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5.3</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5.0 </w:t>
            </w:r>
          </w:p>
        </w:tc>
        <w:tc>
          <w:tcPr>
            <w:tcW w:w="1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Total Other Operations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2,303.3</w:t>
            </w:r>
            <w:r>
              <w:rPr>
                <w:color w:val="000000"/>
              </w:rPr>
              <w:t>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2,395.5 </w:t>
            </w:r>
          </w:p>
        </w:tc>
        <w:tc>
          <w:tcPr>
            <w:tcW w:w="15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assets</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13,766.7</w:t>
            </w:r>
            <w:r>
              <w:rPr>
                <w:color w:val="000000"/>
              </w:rPr>
              <w:t> </w:t>
            </w:r>
          </w:p>
        </w:tc>
        <w:tc>
          <w:tcPr>
            <w:tcW w:w="1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7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12,306.5 </w:t>
            </w:r>
          </w:p>
        </w:tc>
        <w:tc>
          <w:tcPr>
            <w:tcW w:w="15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See Notes to Consolidated Financial Statements.</w: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WHITE MOUNTAINS INSURANCE GROUP, LTD.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BALANCE SHEETS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tbl>
      <w:tblPr>
        <w:tblW w:w="9412" w:type="dxa"/>
        <w:jc w:val="center"/>
        <w:tblInd w:w="0" w:type="dxa"/>
        <w:tblLayout w:type="fixed"/>
        <w:tblCellMar>
          <w:top w:w="28" w:type="dxa"/>
          <w:left w:w="28" w:type="dxa"/>
          <w:bottom w:w="28" w:type="dxa"/>
          <w:right w:w="28" w:type="dxa"/>
        </w:tblCellMar>
      </w:tblPr>
      <w:tblGrid>
        <w:gridCol w:w="2208"/>
        <w:gridCol w:w="1939"/>
        <w:gridCol w:w="1942"/>
        <w:gridCol w:w="109"/>
        <w:gridCol w:w="109"/>
        <w:gridCol w:w="109"/>
        <w:gridCol w:w="200"/>
        <w:gridCol w:w="814"/>
        <w:gridCol w:w="111"/>
        <w:gridCol w:w="109"/>
        <w:gridCol w:w="109"/>
        <w:gridCol w:w="109"/>
        <w:gridCol w:w="267"/>
        <w:gridCol w:w="1067"/>
        <w:gridCol w:w="210"/>
      </w:tblGrid>
      <w:tr>
        <w:trPr/>
        <w:tc>
          <w:tcPr>
            <w:tcW w:w="2208"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6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 except share and per share amounts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6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P&amp;C Insurance and Reinsurance (Ark/WM Outrigger)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and loss adjustment expense 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1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2,623.8</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2,481.0 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Unearned insurance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1,860.4</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1,026.1 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159.0</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159.7 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Reinsurance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642.8</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286.2 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Contingent 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370.0</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328.3 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208.0</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247.2 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P&amp;C Insurance and Reinsurance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5,864.0</w:t>
            </w:r>
            <w:r>
              <w:rPr>
                <w:color w:val="000000"/>
              </w:rPr>
              <w:t>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4,528.5 </w:t>
            </w:r>
          </w:p>
        </w:tc>
        <w:tc>
          <w:tcPr>
            <w:tcW w:w="2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Asset Management (Kudu)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350.7</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350.4 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116.7</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96.5 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 Management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467.4</w:t>
            </w:r>
            <w:r>
              <w:rPr>
                <w:color w:val="000000"/>
              </w:rPr>
              <w:t>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446.9 </w:t>
            </w:r>
          </w:p>
        </w:tc>
        <w:tc>
          <w:tcPr>
            <w:tcW w:w="2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Financial Guarantee (HG Global)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Unearned insurance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331.8</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327.9 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197.4</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147.8 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20.1</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Financial Guarantee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549.3</w:t>
            </w:r>
            <w:r>
              <w:rPr>
                <w:color w:val="000000"/>
              </w:rPr>
              <w:t>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499.5 </w:t>
            </w:r>
          </w:p>
        </w:tc>
        <w:tc>
          <w:tcPr>
            <w:tcW w:w="2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6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6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6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6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6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6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6"/>
              </w:rPr>
            </w:pPr>
            <w:r>
              <w:rPr>
                <w:rFonts w:ascii="Times New Roman;serif" w:hAnsi="Times New Roman;serif"/>
                <w:b/>
                <w:i/>
                <w:color w:val="000000"/>
                <w:sz w:val="16"/>
              </w:rPr>
              <w:t>Specialty Insurance Distribution (Distinguished)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140.9</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140.8 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Premiums and commissions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114.0</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77.3</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85.0 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Specialty Insurance Distribution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332.2</w:t>
            </w:r>
            <w:r>
              <w:rPr>
                <w:color w:val="000000"/>
              </w:rPr>
              <w:t>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307.1 </w:t>
            </w:r>
          </w:p>
        </w:tc>
        <w:tc>
          <w:tcPr>
            <w:tcW w:w="2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Services, Industrial and Consumer (WTM Partners)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66.5</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Contract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35.6</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24.8 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81.2</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47.2 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Services, Industrial and Consumer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183.3</w:t>
            </w:r>
            <w:r>
              <w:rPr>
                <w:color w:val="000000"/>
              </w:rPr>
              <w:t>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91.4 </w:t>
            </w:r>
          </w:p>
        </w:tc>
        <w:tc>
          <w:tcPr>
            <w:tcW w:w="2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Other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6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18.0</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18.9 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incentive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56.2</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100.1 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40.3</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Liabilities held for sale -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4.0</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Other Operations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118.5</w:t>
            </w:r>
            <w:r>
              <w:rPr>
                <w:color w:val="000000"/>
              </w:rPr>
              <w:t>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178.0 </w:t>
            </w:r>
          </w:p>
        </w:tc>
        <w:tc>
          <w:tcPr>
            <w:tcW w:w="2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7,514.7</w:t>
            </w:r>
            <w:r>
              <w:rPr>
                <w:color w:val="000000"/>
              </w:rPr>
              <w:t>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6,051.4 </w:t>
            </w:r>
          </w:p>
        </w:tc>
        <w:tc>
          <w:tcPr>
            <w:tcW w:w="2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Redeemable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131.5</w:t>
            </w:r>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White Mountains’s common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White Mountains’s common shares at $1 par value per share - authorized 50,000,000 </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6"/>
              </w:rPr>
              <w:t>shares; issued and outstanding 2,386,721 and 2,479,677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Paid-in surplus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563.6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576.5</w:t>
            </w:r>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4,821.0</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4,845.6 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income (loss), after-tax: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unrealized gains (losses) from 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White Mountains’s common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5,388.3</w:t>
            </w:r>
            <w:r>
              <w:rPr>
                <w:color w:val="000000"/>
              </w:rPr>
              <w:t>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5,425.4 </w:t>
            </w:r>
          </w:p>
        </w:tc>
        <w:tc>
          <w:tcPr>
            <w:tcW w:w="2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Nonredeemable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732.2</w:t>
            </w:r>
            <w:r>
              <w:rPr>
                <w:color w:val="000000"/>
              </w:rPr>
              <w:t>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698.2 </w:t>
            </w:r>
          </w:p>
        </w:tc>
        <w:tc>
          <w:tcPr>
            <w:tcW w:w="2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6,120.5</w:t>
            </w:r>
            <w:r>
              <w:rPr>
                <w:color w:val="000000"/>
              </w:rPr>
              <w:t>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6,123.6 </w:t>
            </w:r>
          </w:p>
        </w:tc>
        <w:tc>
          <w:tcPr>
            <w:tcW w:w="2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9"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liabilities, redeemable noncontrolling interests and equity</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13,766.7</w:t>
            </w:r>
            <w:r>
              <w:rPr>
                <w:color w:val="000000"/>
              </w:rPr>
              <w:t> </w:t>
            </w:r>
          </w:p>
        </w:tc>
        <w:tc>
          <w:tcPr>
            <w:tcW w:w="1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12,306.5 </w:t>
            </w:r>
          </w:p>
        </w:tc>
        <w:tc>
          <w:tcPr>
            <w:tcW w:w="2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Times New Roman;serif" w:hAnsi="Times New Roman;serif"/>
          <w:b w:val="false"/>
          <w:color w:val="000000"/>
          <w:sz w:val="16"/>
        </w:rPr>
        <w:t xml:space="preserve">See Notes to Consolidated Financial Statements including </w:t>
      </w:r>
      <w:r>
        <w:rPr>
          <w:rFonts w:ascii="Times New Roman;serif" w:hAnsi="Times New Roman;serif"/>
          <w:b/>
          <w:color w:val="000000"/>
          <w:sz w:val="16"/>
        </w:rPr>
        <w:t>Note 13 — “Noncontrolling Interests”</w:t>
      </w:r>
      <w:r>
        <w:rPr>
          <w:color w:val="000000"/>
        </w:rPr>
        <w:t xml:space="preserve"> </w:t>
      </w:r>
      <w:r>
        <w:rPr>
          <w:rFonts w:ascii="Times New Roman;serif" w:hAnsi="Times New Roman;serif"/>
          <w:b w:val="false"/>
          <w:color w:val="000000"/>
          <w:sz w:val="16"/>
        </w:rPr>
        <w:t xml:space="preserve">and </w:t>
      </w:r>
      <w:r>
        <w:rPr>
          <w:rFonts w:ascii="Times New Roman;serif" w:hAnsi="Times New Roman;serif"/>
          <w:b/>
          <w:color w:val="000000"/>
          <w:sz w:val="16"/>
        </w:rPr>
        <w:t>Note 18 — “Commitments and Contingencies.”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WHITE MOUNTAINS INSURANCE GROUP,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815"/>
        <w:gridCol w:w="1561"/>
        <w:gridCol w:w="1588"/>
        <w:gridCol w:w="109"/>
        <w:gridCol w:w="109"/>
        <w:gridCol w:w="109"/>
        <w:gridCol w:w="209"/>
        <w:gridCol w:w="610"/>
        <w:gridCol w:w="116"/>
        <w:gridCol w:w="116"/>
        <w:gridCol w:w="116"/>
        <w:gridCol w:w="116"/>
        <w:gridCol w:w="209"/>
        <w:gridCol w:w="595"/>
        <w:gridCol w:w="116"/>
        <w:gridCol w:w="109"/>
        <w:gridCol w:w="109"/>
        <w:gridCol w:w="109"/>
        <w:gridCol w:w="196"/>
        <w:gridCol w:w="706"/>
        <w:gridCol w:w="109"/>
        <w:gridCol w:w="109"/>
        <w:gridCol w:w="109"/>
        <w:gridCol w:w="109"/>
        <w:gridCol w:w="196"/>
        <w:gridCol w:w="691"/>
        <w:gridCol w:w="159"/>
      </w:tblGrid>
      <w:tr>
        <w:trPr/>
        <w:tc>
          <w:tcPr>
            <w:tcW w:w="1815"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P&amp;C Insurance and Reinsurance (Ark/WM Outrigger)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Earned insurance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376.2</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364.2 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750.0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722.2 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investment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28.0</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56.7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realized and unrealized investment 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30.5</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80.6 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4.9</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P&amp;C Insurance and Reinsurance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439.6</w:t>
            </w:r>
            <w:r>
              <w:rPr>
                <w:color w:val="000000"/>
              </w:rPr>
              <w:t>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447.9 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815.9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861.1 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Asset Management (Kudu)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investment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19.0</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39.8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38.7 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realized and unrealized investment 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49.7</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91.7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 Management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68.9</w:t>
            </w:r>
            <w:r>
              <w:rPr>
                <w:color w:val="000000"/>
              </w:rPr>
              <w:t>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131.9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Financial Guarantee (HG Global)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Earned insurance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7.7</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investment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7.8</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realized and unrealized investment 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 from BAM Surplus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6.9</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Financial Guarantee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20.4</w:t>
            </w:r>
            <w:r>
              <w:rPr>
                <w:color w:val="000000"/>
              </w:rPr>
              <w:t>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i/>
                <w:color w:val="000000"/>
                <w:sz w:val="18"/>
              </w:rPr>
            </w:pPr>
            <w:r>
              <w:rPr>
                <w:rFonts w:ascii="Times New Roman;serif" w:hAnsi="Times New Roman;serif"/>
                <w:b/>
                <w:i/>
                <w:color w:val="000000"/>
                <w:sz w:val="18"/>
              </w:rPr>
              <w:t>Specialty Insurance Distribution (Distinguished)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Commission and fee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56.6</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96.2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Specialty Insurance Distribution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57.4</w:t>
            </w:r>
            <w:r>
              <w:rPr>
                <w:color w:val="000000"/>
              </w:rPr>
              <w:t>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97.7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Services, Industrial and Consumer (WTM Partners)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and service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92.8</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136.5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Services, Industrial and Consumer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92.8</w:t>
            </w:r>
            <w:r>
              <w:rPr>
                <w:color w:val="000000"/>
              </w:rPr>
              <w:t>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136.5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P&amp;C Insurance Distribution (Bamboo)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Commission and fee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103.3 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Earned insurance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P&amp;C Insurance Distribution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123.9 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Other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Net investment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15.5</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Net realized and unrealized investment 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72.4</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79.3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34.6 </w:t>
            </w:r>
          </w:p>
        </w:tc>
        <w:tc>
          <w:tcPr>
            <w:tcW w:w="159" w:type="dxa"/>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Net realized and unrealized investment gains (losses) from investment in MediaAlpha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58.4</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Product and service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14.7</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gridSpan w:val="3"/>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Net gain on sale of the Bamboo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Other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Operations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165.5</w:t>
            </w:r>
            <w:r>
              <w:rPr>
                <w:color w:val="000000"/>
              </w:rPr>
              <w:t>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91.4 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142.8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98.7 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4"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revenues</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844.6</w:t>
            </w:r>
            <w:r>
              <w:rPr>
                <w:color w:val="000000"/>
              </w:rPr>
              <w:t> </w:t>
            </w:r>
          </w:p>
        </w:tc>
        <w:tc>
          <w:tcPr>
            <w:tcW w:w="1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689.2 </w:t>
            </w:r>
          </w:p>
        </w:tc>
        <w:tc>
          <w:tcPr>
            <w:tcW w:w="1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1,362.4</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1,267.0 </w:t>
            </w:r>
          </w:p>
        </w:tc>
        <w:tc>
          <w:tcPr>
            <w:tcW w:w="1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See Notes to Consolidated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WHITE MOUNTAINS INSURANCE GROUP,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894"/>
        <w:gridCol w:w="1643"/>
        <w:gridCol w:w="1668"/>
        <w:gridCol w:w="109"/>
        <w:gridCol w:w="109"/>
        <w:gridCol w:w="109"/>
        <w:gridCol w:w="212"/>
        <w:gridCol w:w="618"/>
        <w:gridCol w:w="117"/>
        <w:gridCol w:w="117"/>
        <w:gridCol w:w="117"/>
        <w:gridCol w:w="117"/>
        <w:gridCol w:w="212"/>
        <w:gridCol w:w="602"/>
        <w:gridCol w:w="117"/>
        <w:gridCol w:w="109"/>
        <w:gridCol w:w="109"/>
        <w:gridCol w:w="109"/>
        <w:gridCol w:w="196"/>
        <w:gridCol w:w="571"/>
        <w:gridCol w:w="109"/>
        <w:gridCol w:w="109"/>
        <w:gridCol w:w="109"/>
        <w:gridCol w:w="109"/>
        <w:gridCol w:w="196"/>
        <w:gridCol w:w="556"/>
        <w:gridCol w:w="162"/>
      </w:tblGrid>
      <w:tr>
        <w:trPr/>
        <w:tc>
          <w:tcPr>
            <w:tcW w:w="1894" w:type="dxa"/>
            <w:tcBorders/>
            <w:vAlign w:val="center"/>
          </w:tcPr>
          <w:p>
            <w:pPr>
              <w:pStyle w:val="TableContents"/>
              <w:bidi w:val="0"/>
              <w:spacing w:before="0" w:after="283"/>
              <w:jc w:val="left"/>
              <w:rPr>
                <w:sz w:val="4"/>
                <w:szCs w:val="4"/>
              </w:rPr>
            </w:pPr>
            <w:r>
              <w:rPr>
                <w:sz w:val="4"/>
                <w:szCs w:val="4"/>
              </w:rPr>
            </w:r>
          </w:p>
        </w:tc>
        <w:tc>
          <w:tcPr>
            <w:tcW w:w="1643"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2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P&amp;C Insurance and Reinsurance (Ark/WM Outrigger)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and loss adjustment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8"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175.6</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164.0 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382.3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397.5 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Insurance acquisition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103.7</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202.5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180.7 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44.4</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56.5 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91.9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92.4 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fair value of contingent 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31.7</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41.7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4.1</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P&amp;C Insurance and Reinsurance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359.5</w:t>
            </w:r>
            <w:r>
              <w:rPr>
                <w:color w:val="000000"/>
              </w:rPr>
              <w:t>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350.4 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726.6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717.2 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Asset Management (Kudu)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4.7</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7.2</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 Management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11.9</w:t>
            </w:r>
            <w:r>
              <w:rPr>
                <w:color w:val="000000"/>
              </w:rPr>
              <w:t>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Financial Guarantee (HG Global)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Insurance acquisition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Financial Guarantee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w:t>
            </w:r>
            <w:r>
              <w:rPr>
                <w:color w:val="000000"/>
              </w:rPr>
              <w:t>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Specialty Insurance Distribution (Distinguished)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Broker commission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23.3</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41.0</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78.2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3.6</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Specialty Insurance Distribution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67.9</w:t>
            </w:r>
            <w:r>
              <w:rPr>
                <w:color w:val="000000"/>
              </w:rPr>
              <w:t>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125.8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Services, Industrial and Consumer (WTM Partners)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Cost of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72.6</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108.7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15.5</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Services, Industrial and Consumer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88.7</w:t>
            </w:r>
            <w:r>
              <w:rPr>
                <w:color w:val="000000"/>
              </w:rPr>
              <w:t>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134.9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P&amp;C Insurance Distribution (Bamboo)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Broker commission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and loss adjustment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Insurance acquisition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General and administrative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42.6 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P&amp;C Insurance Distribution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Other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Cost of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7.5</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General and administrative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42.5</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89.6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104.1 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Operations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50.6</w:t>
            </w:r>
            <w:r>
              <w:rPr>
                <w:color w:val="000000"/>
              </w:rPr>
              <w:t>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105.0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119.8 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588.6</w:t>
            </w:r>
            <w:r>
              <w:rPr>
                <w:color w:val="000000"/>
              </w:rPr>
              <w:t>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512.7 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1,131.9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1,018.1 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Pre-tax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256.0</w:t>
            </w:r>
            <w:r>
              <w:rPr>
                <w:color w:val="000000"/>
              </w:rPr>
              <w:t>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176.5 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230.5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248.9 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Income tax (expense)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(24.8)</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(25.6)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5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7"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231.2</w:t>
            </w:r>
            <w:r>
              <w:rPr>
                <w:color w:val="000000"/>
              </w:rPr>
              <w:t>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163.6 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204.9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226.4 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Net (income) loss attributable to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(31.7)</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5"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 attributable to White Mountains’s common shareholders</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199.5</w:t>
            </w:r>
            <w:r>
              <w:rPr>
                <w:color w:val="000000"/>
              </w:rPr>
              <w:t> </w:t>
            </w:r>
          </w:p>
        </w:tc>
        <w:tc>
          <w:tcPr>
            <w:tcW w:w="1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122.9 </w:t>
            </w:r>
          </w:p>
        </w:tc>
        <w:tc>
          <w:tcPr>
            <w:tcW w:w="1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172.3</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156.8 </w:t>
            </w:r>
          </w:p>
        </w:tc>
        <w:tc>
          <w:tcPr>
            <w:tcW w:w="1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WHITE MOUNTAINS INSURANCE GROUP,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CONSOLIDATED STATEMENTS OF COMPREHENSIVE INCOME (LOSS)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936"/>
        <w:gridCol w:w="1537"/>
        <w:gridCol w:w="1551"/>
        <w:gridCol w:w="181"/>
        <w:gridCol w:w="181"/>
        <w:gridCol w:w="181"/>
        <w:gridCol w:w="208"/>
        <w:gridCol w:w="608"/>
        <w:gridCol w:w="115"/>
        <w:gridCol w:w="115"/>
        <w:gridCol w:w="115"/>
        <w:gridCol w:w="115"/>
        <w:gridCol w:w="208"/>
        <w:gridCol w:w="592"/>
        <w:gridCol w:w="115"/>
        <w:gridCol w:w="109"/>
        <w:gridCol w:w="109"/>
        <w:gridCol w:w="109"/>
        <w:gridCol w:w="196"/>
        <w:gridCol w:w="571"/>
        <w:gridCol w:w="109"/>
        <w:gridCol w:w="109"/>
        <w:gridCol w:w="109"/>
        <w:gridCol w:w="109"/>
        <w:gridCol w:w="196"/>
        <w:gridCol w:w="556"/>
        <w:gridCol w:w="165"/>
      </w:tblGrid>
      <w:tr>
        <w:trPr/>
        <w:tc>
          <w:tcPr>
            <w:tcW w:w="1936"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0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Millions, except per share amounts</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56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 attributable to White Mountains’s common shareholders</w:t>
            </w:r>
          </w:p>
        </w:tc>
        <w:tc>
          <w:tcPr>
            <w:tcW w:w="2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199.5</w:t>
            </w:r>
            <w:r>
              <w:rPr>
                <w:color w:val="000000"/>
              </w:rPr>
              <w:t> </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122.9 </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172.3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156.8 </w:t>
            </w:r>
          </w:p>
        </w:tc>
        <w:tc>
          <w:tcPr>
            <w:tcW w:w="1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net of tax</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Comprehensive income (loss) </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199.0</w:t>
            </w:r>
            <w:r>
              <w:rPr>
                <w:color w:val="000000"/>
              </w:rPr>
              <w:t> </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124.0 </w:t>
            </w:r>
          </w:p>
        </w:tc>
        <w:tc>
          <w:tcPr>
            <w:tcW w:w="1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172.8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159.9 </w:t>
            </w:r>
          </w:p>
        </w:tc>
        <w:tc>
          <w:tcPr>
            <w:tcW w:w="1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attributable to noncontrolling interests</w:t>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w:t>
            </w:r>
            <w:r>
              <w:rPr>
                <w:color w:val="000000"/>
              </w:rPr>
              <w:t> </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Comprehensive income (loss) attributable to White Mountains’s common shareholders</w:t>
            </w:r>
          </w:p>
        </w:tc>
        <w:tc>
          <w:tcPr>
            <w:tcW w:w="543"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199.4</w:t>
            </w:r>
            <w:r>
              <w:rPr>
                <w:color w:val="000000"/>
              </w:rPr>
              <w:t> </w:t>
            </w:r>
          </w:p>
        </w:tc>
        <w:tc>
          <w:tcPr>
            <w:tcW w:w="1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123.7 </w:t>
            </w:r>
          </w:p>
        </w:tc>
        <w:tc>
          <w:tcPr>
            <w:tcW w:w="1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172.8</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158.8 </w:t>
            </w:r>
          </w:p>
        </w:tc>
        <w:tc>
          <w:tcPr>
            <w:tcW w:w="1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270"/>
        <w:jc w:val="center"/>
        <w:rPr/>
      </w:pPr>
      <w:r>
        <w:rPr/>
      </w:r>
    </w:p>
    <w:tbl>
      <w:tblPr>
        <w:tblW w:w="10205" w:type="dxa"/>
        <w:jc w:val="center"/>
        <w:tblInd w:w="0" w:type="dxa"/>
        <w:tblLayout w:type="fixed"/>
        <w:tblCellMar>
          <w:top w:w="28" w:type="dxa"/>
          <w:left w:w="28" w:type="dxa"/>
          <w:bottom w:w="28" w:type="dxa"/>
          <w:right w:w="28" w:type="dxa"/>
        </w:tblCellMar>
      </w:tblPr>
      <w:tblGrid>
        <w:gridCol w:w="1891"/>
        <w:gridCol w:w="1665"/>
        <w:gridCol w:w="1670"/>
        <w:gridCol w:w="109"/>
        <w:gridCol w:w="109"/>
        <w:gridCol w:w="109"/>
        <w:gridCol w:w="210"/>
        <w:gridCol w:w="612"/>
        <w:gridCol w:w="116"/>
        <w:gridCol w:w="116"/>
        <w:gridCol w:w="116"/>
        <w:gridCol w:w="116"/>
        <w:gridCol w:w="210"/>
        <w:gridCol w:w="597"/>
        <w:gridCol w:w="116"/>
        <w:gridCol w:w="109"/>
        <w:gridCol w:w="109"/>
        <w:gridCol w:w="109"/>
        <w:gridCol w:w="196"/>
        <w:gridCol w:w="571"/>
        <w:gridCol w:w="109"/>
        <w:gridCol w:w="109"/>
        <w:gridCol w:w="109"/>
        <w:gridCol w:w="109"/>
        <w:gridCol w:w="196"/>
        <w:gridCol w:w="556"/>
        <w:gridCol w:w="161"/>
      </w:tblGrid>
      <w:tr>
        <w:trPr/>
        <w:tc>
          <w:tcPr>
            <w:tcW w:w="1891"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2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2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Earnings (loss) per share attributable to White Mountains’s common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r>
      <w:tr>
        <w:trPr/>
        <w:tc>
          <w:tcPr>
            <w:tcW w:w="5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r>
      <w:tr>
        <w:trPr/>
        <w:tc>
          <w:tcPr>
            <w:tcW w:w="5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earnings (loss)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2"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80.58</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47.75 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67.36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60.99 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r>
      <w:tr>
        <w:trPr/>
        <w:tc>
          <w:tcPr>
            <w:tcW w:w="5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r>
      <w:tr>
        <w:trPr/>
        <w:tc>
          <w:tcPr>
            <w:tcW w:w="5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r>
      <w:tr>
        <w:trPr/>
        <w:tc>
          <w:tcPr>
            <w:tcW w:w="52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earnings (loss)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2"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80.58</w:t>
            </w: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47.75 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67.36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60.99 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Dividends declared and paid per White Mountains’s common share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0"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12"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0"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7"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w:t>
            </w:r>
            <w:r>
              <w:rPr>
                <w:color w:val="000000"/>
              </w:rPr>
              <w:t>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6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See Notes to Consolidated Financial Statements.</w:t>
      </w:r>
    </w:p>
    <w:p>
      <w:pPr>
        <w:pStyle w:val="TextBody"/>
        <w:bidi w:val="0"/>
        <w:spacing w:before="0" w:after="0"/>
        <w:ind w:left="0" w:right="0" w:hanging="630"/>
        <w:jc w:val="left"/>
        <w:rPr/>
      </w:pPr>
      <w:r>
        <w:rPr/>
      </w:r>
    </w:p>
    <w:p>
      <w:pPr>
        <w:pStyle w:val="TextBody"/>
        <w:bidi w:val="0"/>
        <w:spacing w:before="0" w:after="0"/>
        <w:ind w:left="0" w:right="0" w:hanging="630"/>
        <w:jc w:val="left"/>
        <w:rPr/>
      </w:pPr>
      <w:r>
        <w:rPr/>
      </w:r>
    </w:p>
    <w:p>
      <w:pPr>
        <w:pStyle w:val="TextBody"/>
        <w:bidi w:val="0"/>
        <w:spacing w:before="0" w:after="0"/>
        <w:ind w:left="0" w:right="0" w:hanging="630"/>
        <w:jc w:val="left"/>
        <w:rPr/>
      </w:pPr>
      <w:r>
        <w:rPr/>
      </w:r>
    </w:p>
    <w:p>
      <w:pPr>
        <w:pStyle w:val="TextBody"/>
        <w:bidi w:val="0"/>
        <w:spacing w:before="0" w:after="0"/>
        <w:ind w:left="0" w:right="0" w:hanging="63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WHITE MOUNTAINS INSURANCE GROUP,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CHANGES IN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677" w:type="dxa"/>
        <w:jc w:val="left"/>
        <w:tblInd w:w="0" w:type="dxa"/>
        <w:tblLayout w:type="fixed"/>
        <w:tblCellMar>
          <w:top w:w="28" w:type="dxa"/>
          <w:left w:w="28" w:type="dxa"/>
          <w:bottom w:w="28" w:type="dxa"/>
          <w:right w:w="28" w:type="dxa"/>
        </w:tblCellMar>
      </w:tblPr>
      <w:tblGrid>
        <w:gridCol w:w="856"/>
        <w:gridCol w:w="239"/>
        <w:gridCol w:w="241"/>
        <w:gridCol w:w="109"/>
        <w:gridCol w:w="109"/>
        <w:gridCol w:w="109"/>
        <w:gridCol w:w="196"/>
        <w:gridCol w:w="571"/>
        <w:gridCol w:w="109"/>
        <w:gridCol w:w="109"/>
        <w:gridCol w:w="109"/>
        <w:gridCol w:w="109"/>
        <w:gridCol w:w="196"/>
        <w:gridCol w:w="706"/>
        <w:gridCol w:w="109"/>
        <w:gridCol w:w="109"/>
        <w:gridCol w:w="109"/>
        <w:gridCol w:w="109"/>
        <w:gridCol w:w="196"/>
        <w:gridCol w:w="391"/>
        <w:gridCol w:w="109"/>
        <w:gridCol w:w="109"/>
        <w:gridCol w:w="109"/>
        <w:gridCol w:w="109"/>
        <w:gridCol w:w="196"/>
        <w:gridCol w:w="706"/>
        <w:gridCol w:w="109"/>
        <w:gridCol w:w="109"/>
        <w:gridCol w:w="109"/>
        <w:gridCol w:w="109"/>
        <w:gridCol w:w="275"/>
        <w:gridCol w:w="802"/>
        <w:gridCol w:w="154"/>
        <w:gridCol w:w="109"/>
        <w:gridCol w:w="109"/>
        <w:gridCol w:w="109"/>
        <w:gridCol w:w="196"/>
        <w:gridCol w:w="706"/>
        <w:gridCol w:w="109"/>
        <w:gridCol w:w="109"/>
        <w:gridCol w:w="109"/>
        <w:gridCol w:w="109"/>
        <w:gridCol w:w="258"/>
        <w:gridCol w:w="753"/>
        <w:gridCol w:w="205"/>
      </w:tblGrid>
      <w:tr>
        <w:trPr/>
        <w:tc>
          <w:tcPr>
            <w:tcW w:w="85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2" w:type="dxa"/>
            <w:gridSpan w:val="24"/>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White Mountains’s Common Shareholders’ Equity</w:t>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shares and paid-in surplus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AOCI, after 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Nonredeemable 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Redeemable noncontrolling interest</w:t>
            </w:r>
          </w:p>
        </w:tc>
      </w:tr>
      <w:tr>
        <w:trPr/>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581.3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4,790.8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5,373.5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671.0</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6,044.5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131.5</w:t>
            </w:r>
            <w:r>
              <w:rPr>
                <w:color w:val="000000"/>
              </w:rPr>
              <w:t>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199.5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199.5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34.7</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234.2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(3.0)</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comprehensive income (loss), </w:t>
              <w:br/>
              <w:t>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199.5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199.4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34.3</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233.7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(3.0)</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to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(1.5)</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Issuances of 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Repurchases and retirements of </w:t>
              <w:br/>
              <w:t>   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(169.6)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(190.9)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(190.9)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restricted share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Recognition of equity-based </w:t>
              <w:br/>
              <w:t>   compensation expense of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3.7</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w:t>
            </w:r>
            <w:r>
              <w:rPr>
                <w:color w:val="000000"/>
              </w:rPr>
              <w:t>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Net contributions (distributions) and </w:t>
              <w:br/>
              <w:t xml:space="preserve">   dilution from other noncontrolling </w:t>
              <w:br/>
              <w:t>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7.1</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Adjustment to redeemable </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2.9</w:t>
            </w:r>
            <w:r>
              <w:rPr>
                <w:color w:val="000000"/>
              </w:rPr>
              <w:t>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17.6</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as of June 30, 2026</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566.0</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4,821.0</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5,388.3</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732.2</w:t>
            </w:r>
            <w:r>
              <w:rPr>
                <w:color w:val="000000"/>
              </w:rPr>
              <w:t>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6,120.5</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131.5</w:t>
            </w:r>
            <w:r>
              <w:rPr>
                <w:color w:val="000000"/>
              </w:rPr>
              <w:t> </w:t>
            </w:r>
          </w:p>
        </w:tc>
        <w:tc>
          <w:tcPr>
            <w:tcW w:w="2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797"/>
        <w:gridCol w:w="379"/>
        <w:gridCol w:w="382"/>
        <w:gridCol w:w="109"/>
        <w:gridCol w:w="109"/>
        <w:gridCol w:w="109"/>
        <w:gridCol w:w="283"/>
        <w:gridCol w:w="803"/>
        <w:gridCol w:w="157"/>
        <w:gridCol w:w="109"/>
        <w:gridCol w:w="109"/>
        <w:gridCol w:w="109"/>
        <w:gridCol w:w="212"/>
        <w:gridCol w:w="751"/>
        <w:gridCol w:w="118"/>
        <w:gridCol w:w="109"/>
        <w:gridCol w:w="109"/>
        <w:gridCol w:w="109"/>
        <w:gridCol w:w="233"/>
        <w:gridCol w:w="366"/>
        <w:gridCol w:w="129"/>
        <w:gridCol w:w="109"/>
        <w:gridCol w:w="109"/>
        <w:gridCol w:w="109"/>
        <w:gridCol w:w="196"/>
        <w:gridCol w:w="691"/>
        <w:gridCol w:w="109"/>
        <w:gridCol w:w="109"/>
        <w:gridCol w:w="109"/>
        <w:gridCol w:w="109"/>
        <w:gridCol w:w="360"/>
        <w:gridCol w:w="1023"/>
        <w:gridCol w:w="202"/>
        <w:gridCol w:w="109"/>
        <w:gridCol w:w="109"/>
        <w:gridCol w:w="109"/>
        <w:gridCol w:w="196"/>
        <w:gridCol w:w="694"/>
        <w:gridCol w:w="162"/>
      </w:tblGrid>
      <w:tr>
        <w:trPr/>
        <w:tc>
          <w:tcPr>
            <w:tcW w:w="79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558"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White Mountains’s Common Shareholders’ 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shares and paid-in surplus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AOCI, after 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Nonredeemable 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Equity</w:t>
            </w:r>
          </w:p>
        </w:tc>
      </w:tr>
      <w:tr>
        <w:trPr/>
        <w:tc>
          <w:tcPr>
            <w:tcW w:w="15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as of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567.1 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3,943.0 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4,509.6 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630.1 </w:t>
            </w:r>
          </w:p>
        </w:tc>
        <w:tc>
          <w:tcPr>
            <w:tcW w:w="2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5,139.7 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122.9 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40.7 </w:t>
            </w:r>
          </w:p>
        </w:tc>
        <w:tc>
          <w:tcPr>
            <w:tcW w:w="2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163.6 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comprehensive income (loss), </w:t>
              <w:br/>
              <w:t>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r>
      <w:tr>
        <w:trPr/>
        <w:tc>
          <w:tcPr>
            <w:tcW w:w="1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r>
      <w:tr>
        <w:trPr/>
        <w:tc>
          <w:tcPr>
            <w:tcW w:w="15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122.9 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41.0 </w:t>
            </w:r>
          </w:p>
        </w:tc>
        <w:tc>
          <w:tcPr>
            <w:tcW w:w="2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164.7 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r>
      <w:tr>
        <w:trPr/>
        <w:tc>
          <w:tcPr>
            <w:tcW w:w="15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to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w:t>
            </w:r>
          </w:p>
        </w:tc>
        <w:tc>
          <w:tcPr>
            <w:tcW w:w="2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Issuances of 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r>
      <w:tr>
        <w:trPr/>
        <w:tc>
          <w:tcPr>
            <w:tcW w:w="1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r>
      <w:tr>
        <w:trPr/>
        <w:tc>
          <w:tcPr>
            <w:tcW w:w="1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r>
      <w:tr>
        <w:trPr/>
        <w:tc>
          <w:tcPr>
            <w:tcW w:w="15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restricted share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Recognition of equity-based </w:t>
              <w:br/>
              <w:t>   compensation expense of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r>
      <w:tr>
        <w:trPr/>
        <w:tc>
          <w:tcPr>
            <w:tcW w:w="15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Net contributions (distributions) and </w:t>
              <w:br/>
              <w:t xml:space="preserve">   dilution from other noncontrolling </w:t>
              <w:br/>
              <w:t>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r>
      <w:tr>
        <w:trPr/>
        <w:tc>
          <w:tcPr>
            <w:tcW w:w="1558"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as of June 30, 2025</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576.6 </w:t>
            </w:r>
          </w:p>
        </w:tc>
        <w:tc>
          <w:tcPr>
            <w:tcW w:w="1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4,067.6 </w:t>
            </w:r>
          </w:p>
        </w:tc>
        <w:tc>
          <w:tcPr>
            <w:tcW w:w="1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4,644.5 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695.7 </w:t>
            </w:r>
          </w:p>
        </w:tc>
        <w:tc>
          <w:tcPr>
            <w:tcW w:w="2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5,340.2 </w:t>
            </w:r>
          </w:p>
        </w:tc>
        <w:tc>
          <w:tcPr>
            <w:tcW w:w="1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WHITE MOUNTAINS INSURANCE GROUP,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CHANGES IN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677" w:type="dxa"/>
        <w:jc w:val="left"/>
        <w:tblInd w:w="0" w:type="dxa"/>
        <w:tblLayout w:type="fixed"/>
        <w:tblCellMar>
          <w:top w:w="28" w:type="dxa"/>
          <w:left w:w="28" w:type="dxa"/>
          <w:bottom w:w="28" w:type="dxa"/>
          <w:right w:w="28" w:type="dxa"/>
        </w:tblCellMar>
      </w:tblPr>
      <w:tblGrid>
        <w:gridCol w:w="856"/>
        <w:gridCol w:w="239"/>
        <w:gridCol w:w="241"/>
        <w:gridCol w:w="109"/>
        <w:gridCol w:w="109"/>
        <w:gridCol w:w="109"/>
        <w:gridCol w:w="196"/>
        <w:gridCol w:w="571"/>
        <w:gridCol w:w="109"/>
        <w:gridCol w:w="109"/>
        <w:gridCol w:w="109"/>
        <w:gridCol w:w="109"/>
        <w:gridCol w:w="196"/>
        <w:gridCol w:w="706"/>
        <w:gridCol w:w="109"/>
        <w:gridCol w:w="109"/>
        <w:gridCol w:w="109"/>
        <w:gridCol w:w="109"/>
        <w:gridCol w:w="196"/>
        <w:gridCol w:w="391"/>
        <w:gridCol w:w="109"/>
        <w:gridCol w:w="109"/>
        <w:gridCol w:w="109"/>
        <w:gridCol w:w="109"/>
        <w:gridCol w:w="196"/>
        <w:gridCol w:w="706"/>
        <w:gridCol w:w="109"/>
        <w:gridCol w:w="109"/>
        <w:gridCol w:w="109"/>
        <w:gridCol w:w="109"/>
        <w:gridCol w:w="275"/>
        <w:gridCol w:w="802"/>
        <w:gridCol w:w="154"/>
        <w:gridCol w:w="109"/>
        <w:gridCol w:w="109"/>
        <w:gridCol w:w="109"/>
        <w:gridCol w:w="196"/>
        <w:gridCol w:w="706"/>
        <w:gridCol w:w="109"/>
        <w:gridCol w:w="109"/>
        <w:gridCol w:w="109"/>
        <w:gridCol w:w="109"/>
        <w:gridCol w:w="258"/>
        <w:gridCol w:w="753"/>
        <w:gridCol w:w="205"/>
      </w:tblGrid>
      <w:tr>
        <w:trPr/>
        <w:tc>
          <w:tcPr>
            <w:tcW w:w="85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2" w:type="dxa"/>
            <w:gridSpan w:val="24"/>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White Mountains’s Common Shareholders’ Equity</w:t>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shares and paid-in surplus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AOCI, after 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Nonredeemable 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Redeemable noncontrolling interest</w:t>
            </w:r>
          </w:p>
        </w:tc>
      </w:tr>
      <w:tr>
        <w:trPr/>
        <w:tc>
          <w:tcPr>
            <w:tcW w:w="13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as of January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579.0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4,845.6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5,425.4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698.2</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6,123.6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131.5</w:t>
            </w:r>
            <w:r>
              <w:rPr>
                <w:color w:val="000000"/>
              </w:rPr>
              <w:t>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172.3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172.3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39.5</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211.8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(6.9)</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comprehensive income (loss), </w:t>
              <w:br/>
              <w:t>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172.3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172.8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39.5</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212.3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(6.9)</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 on 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3"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Dividends declared to noncontrolling interests</w:t>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(16.1)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(16.1)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Issuances of 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Repurchases and retirements of </w:t>
              <w:br/>
              <w:t>   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(24.2)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(192.6)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(216.8)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(216.8)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restricted share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Recognition of equity-based </w:t>
              <w:br/>
              <w:t>   compensation expense of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7.5</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w:t>
            </w:r>
            <w:r>
              <w:rPr>
                <w:color w:val="000000"/>
              </w:rPr>
              <w:t>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Net contributions (distributions) and </w:t>
              <w:br/>
              <w:t xml:space="preserve">   dilution from other noncontrolling </w:t>
              <w:br/>
              <w:t>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(14.8)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Adjustments of redeemable </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6.8</w:t>
            </w:r>
            <w:r>
              <w:rPr>
                <w:color w:val="000000"/>
              </w:rPr>
              <w:t>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17.9</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as of June 30, 2026</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566.0</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4,821.0</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5,388.3</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732.2</w:t>
            </w:r>
            <w:r>
              <w:rPr>
                <w:color w:val="000000"/>
              </w:rPr>
              <w:t>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6,120.5</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131.5</w:t>
            </w:r>
            <w:r>
              <w:rPr>
                <w:color w:val="000000"/>
              </w:rPr>
              <w:t> </w:t>
            </w:r>
          </w:p>
        </w:tc>
        <w:tc>
          <w:tcPr>
            <w:tcW w:w="2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tbl>
      <w:tblPr>
        <w:tblW w:w="10205" w:type="dxa"/>
        <w:jc w:val="left"/>
        <w:tblInd w:w="0" w:type="dxa"/>
        <w:tblLayout w:type="fixed"/>
        <w:tblCellMar>
          <w:top w:w="28" w:type="dxa"/>
          <w:left w:w="28" w:type="dxa"/>
          <w:bottom w:w="28" w:type="dxa"/>
          <w:right w:w="28" w:type="dxa"/>
        </w:tblCellMar>
      </w:tblPr>
      <w:tblGrid>
        <w:gridCol w:w="800"/>
        <w:gridCol w:w="374"/>
        <w:gridCol w:w="377"/>
        <w:gridCol w:w="110"/>
        <w:gridCol w:w="110"/>
        <w:gridCol w:w="110"/>
        <w:gridCol w:w="275"/>
        <w:gridCol w:w="781"/>
        <w:gridCol w:w="153"/>
        <w:gridCol w:w="109"/>
        <w:gridCol w:w="109"/>
        <w:gridCol w:w="109"/>
        <w:gridCol w:w="211"/>
        <w:gridCol w:w="745"/>
        <w:gridCol w:w="117"/>
        <w:gridCol w:w="109"/>
        <w:gridCol w:w="109"/>
        <w:gridCol w:w="109"/>
        <w:gridCol w:w="221"/>
        <w:gridCol w:w="461"/>
        <w:gridCol w:w="123"/>
        <w:gridCol w:w="109"/>
        <w:gridCol w:w="109"/>
        <w:gridCol w:w="109"/>
        <w:gridCol w:w="196"/>
        <w:gridCol w:w="691"/>
        <w:gridCol w:w="109"/>
        <w:gridCol w:w="109"/>
        <w:gridCol w:w="109"/>
        <w:gridCol w:w="109"/>
        <w:gridCol w:w="353"/>
        <w:gridCol w:w="1003"/>
        <w:gridCol w:w="198"/>
        <w:gridCol w:w="109"/>
        <w:gridCol w:w="109"/>
        <w:gridCol w:w="109"/>
        <w:gridCol w:w="196"/>
        <w:gridCol w:w="694"/>
        <w:gridCol w:w="162"/>
      </w:tblGrid>
      <w:tr>
        <w:trPr/>
        <w:tc>
          <w:tcPr>
            <w:tcW w:w="80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55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White Mountains’s Common Shareholders’ Equity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shares and paid-in surplus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AOCI, after tax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Nonredeemable 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Equity</w:t>
            </w:r>
          </w:p>
        </w:tc>
      </w:tr>
      <w:tr>
        <w:trPr/>
        <w:tc>
          <w:tcPr>
            <w:tcW w:w="15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as of January 1, 2025</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566.4 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3,919.0 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4,483.7 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647.3 </w:t>
            </w:r>
          </w:p>
        </w:tc>
        <w:tc>
          <w:tcPr>
            <w:tcW w:w="1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5,131.0 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156.8 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69.6 </w:t>
            </w:r>
          </w:p>
        </w:tc>
        <w:tc>
          <w:tcPr>
            <w:tcW w:w="1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226.4 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Other comprehensive income (loss), </w:t>
              <w:br/>
              <w:t>   net of tax</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r>
      <w:tr>
        <w:trPr/>
        <w:tc>
          <w:tcPr>
            <w:tcW w:w="155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r>
      <w:tr>
        <w:trPr/>
        <w:tc>
          <w:tcPr>
            <w:tcW w:w="1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comprehensive income (loss)</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156.8 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70.7 </w:t>
            </w:r>
          </w:p>
        </w:tc>
        <w:tc>
          <w:tcPr>
            <w:tcW w:w="1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229.5 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 on common shares</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1"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Dividends declared to noncontrolling interests</w:t>
            </w:r>
          </w:p>
        </w:tc>
        <w:tc>
          <w:tcPr>
            <w:tcW w:w="10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(19.1)</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Issuances of common shares</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r>
      <w:tr>
        <w:trPr/>
        <w:tc>
          <w:tcPr>
            <w:tcW w:w="1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Repurchases and retirements of </w:t>
              <w:br/>
              <w:t>   common shares</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restricted share awards</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Recognition of equity-based </w:t>
              <w:br/>
              <w:t>   compensation expense of subsidiaries</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Net contributions (distributions) and </w:t>
              <w:br/>
              <w:t xml:space="preserve">   dilution from other noncontrolling </w:t>
              <w:br/>
              <w:t>   interests</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(35.2)</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(35.3)</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noncontrolling interests</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r>
      <w:tr>
        <w:trPr/>
        <w:tc>
          <w:tcPr>
            <w:tcW w:w="1551"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Balances as of June 30, 2025</w:t>
            </w:r>
          </w:p>
        </w:tc>
        <w:tc>
          <w:tcPr>
            <w:tcW w:w="330"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576.6 </w:t>
            </w:r>
          </w:p>
        </w:tc>
        <w:tc>
          <w:tcPr>
            <w:tcW w:w="1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4,067.6 </w:t>
            </w:r>
          </w:p>
        </w:tc>
        <w:tc>
          <w:tcPr>
            <w:tcW w:w="1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4,644.5 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0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695.7 </w:t>
            </w:r>
          </w:p>
        </w:tc>
        <w:tc>
          <w:tcPr>
            <w:tcW w:w="19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5,340.2 </w:t>
            </w:r>
          </w:p>
        </w:tc>
        <w:tc>
          <w:tcPr>
            <w:tcW w:w="1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WHITE MOUNTAINS INSURANCE GROUP, LTD.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886"/>
        <w:gridCol w:w="2431"/>
        <w:gridCol w:w="2449"/>
        <w:gridCol w:w="109"/>
        <w:gridCol w:w="109"/>
        <w:gridCol w:w="109"/>
        <w:gridCol w:w="196"/>
        <w:gridCol w:w="571"/>
        <w:gridCol w:w="109"/>
        <w:gridCol w:w="109"/>
        <w:gridCol w:w="109"/>
        <w:gridCol w:w="109"/>
        <w:gridCol w:w="196"/>
        <w:gridCol w:w="556"/>
        <w:gridCol w:w="157"/>
      </w:tblGrid>
      <w:tr>
        <w:trPr/>
        <w:tc>
          <w:tcPr>
            <w:tcW w:w="2886"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7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204.9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226.4 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to net cash provided from (used for)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realized and unrealized investment (gains)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(161.4)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(173.4)</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realized and unrealized investment (gains) losses from investment in MediaAlpha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gain on sale of the Bamboo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contingent consideration — Ark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41.7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 from BAM Surplus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7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 expense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restricted share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(accretion) and depreciation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operating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reinsurance recoverables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(557.9)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(455.1)</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insurance premiums, commissions and fees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(647.3)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(670.8)</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deferred acquisition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(118.4)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(183.4)</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loss and loss adjustment expense 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142.8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172.0 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unearned insurance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838.2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986.1 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reinsurance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356.6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314.3 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premiums and commissions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32.7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accrued incentive compensation — Other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(43.9)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(39.0)</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Net change in short-term investments </w:t>
            </w:r>
            <w:r>
              <w:rPr>
                <w:color w:val="000000"/>
              </w:rPr>
              <w:t xml:space="preserve">— </w:t>
            </w:r>
            <w:r>
              <w:rPr>
                <w:rFonts w:ascii="Times New Roman;serif" w:hAnsi="Times New Roman;serif"/>
                <w:b w:val="false"/>
                <w:color w:val="000000"/>
                <w:sz w:val="16"/>
              </w:rPr>
              <w:t>Kudu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(92.5)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Contributions to Kudu’s Participation Contracts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(39.8)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(68.2)</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Kudu’s Participation Contracts sold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71.6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other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(76.8)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7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7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provided from (used for)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(25.0)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137.3 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investing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short-term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1,003.5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(235.2)</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of fixed maturity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510.9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263.5 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Maturities, calls and paydowns of fixed maturity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295.3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163.7 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Sales of common equity securities and investment in MediaAlpha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48.9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251.0 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and redemptions of other long-term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34.7 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7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7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release of cash (pre-funding) of investment purchases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(70.0)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Proceeds from the sale of Bamboo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6"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6"/>
              </w:rPr>
              <w:t>Purchases of consolidated subsidiaries, net of cash acquired of $7.3 and $0.8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(181.3)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(70.7)</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fixed maturity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(1,101.0)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(509.4)</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common equity securities and investment in MediaAlpha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(123.9)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other long-term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(254.3)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7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other investing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(28.8)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7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7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provided from (used for) investing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113.6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(156.5)</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flows from financing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Draw down of debt and revolving lines of credit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258.2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131.5 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 of debt and revolving lines of credit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(162.6)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7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dividends paid to common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Repurchases and retirements of common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(216.8)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7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7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Contributions from other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 to other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(38.1)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(57.9)</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7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7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7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7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7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7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other financing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7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7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cash provided from (used for) financing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(146.4)</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90.6 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7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cash during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(57.8)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71.4 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Cash balance at beginning of period (includes restricted cash balances of $1.2 and $14.1, unrestricted cash held for sale of $0.7 and $16.0 and restricted cash held for sale of $0.0 and $59.5)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185.6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266.4 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7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776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Cash balance at end of period (includes restricted cash balances of $28.8 and $4.6, unrestricted cash held for sale of $0.3 and $23.8 and restricted cash held for sale of $— and $94.9)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127.8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337.8 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6"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Supplemental cash flows information:</w:t>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(37.2)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(32.4)</w:t>
            </w:r>
          </w:p>
        </w:tc>
        <w:tc>
          <w:tcPr>
            <w:tcW w:w="157" w:type="dxa"/>
            <w:tcBorders/>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tax payments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57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(15.1)</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(17.6)</w:t>
            </w:r>
          </w:p>
        </w:tc>
        <w:tc>
          <w:tcPr>
            <w:tcW w:w="157"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90"/>
        <w:jc w:val="left"/>
        <w:rPr>
          <w:rFonts w:ascii="Times New Roman;serif" w:hAnsi="Times New Roman;serif"/>
          <w:b w:val="false"/>
          <w:color w:val="000000"/>
          <w:sz w:val="16"/>
        </w:rPr>
      </w:pPr>
      <w:r>
        <w:rPr>
          <w:rFonts w:ascii="Times New Roman;serif" w:hAnsi="Times New Roman;serif"/>
          <w:b w:val="false"/>
          <w:color w:val="000000"/>
          <w:sz w:val="16"/>
        </w:rPr>
        <w:t>See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NOTES TO CONSOLIDATED FINANCIAL STATEMENTS (Unaudited)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Note 1. Basis of Presentation and Significant Accounting Policies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White Mountains Insurance Group, Ltd. (the “Company” or the “Registrant”) is an exempted Bermuda limited liability company whose principal businesses are conducted through its subsidiaries and other affiliates. The Company’s headquarters is located at 26 Reid Street, Hamilton, Bermuda HM 11, its principal executive office is located at 23 South Main Street, Suite 3B, Hanover, New Hampshire 03755-2053 and its registered office is located at Clarendon House, 2 Church Street, Hamilton, Bermuda HM 11. The Company’s website is www.whitemountains.com. The information contained on the Company’s website is not incorporated by reference into, and is not a part of, this report.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have been prepared in accordance with generally accepted accounting principles in the United States (“GAAP”) and include the accounts of the Company, its subsidiaries (collectively with the Company, “White Mountains”) and other entities required to be consolidated under GAAP. Intercompany transactions have been eliminated in consolidation. Certain amounts in the prior period financial statements have been reclassified to conform to the current presentation.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preparation of financial statements in conformity with GAAP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These interim financial statements include all adjustments considered necessary by management to fairly state the financial position, results of operations and cash flows of White Mountains. These interim financial statements may not be indicative of financial results for the full year and should be read in conjunction with the Company’s 2025 Annual Report on Form 10-K.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Reportable Segments</w:t>
      </w:r>
    </w:p>
    <w:p>
      <w:pPr>
        <w:pStyle w:val="TextBody"/>
        <w:bidi w:val="0"/>
        <w:spacing w:lineRule="auto" w:line="288" w:before="0" w:after="0"/>
        <w:jc w:val="left"/>
        <w:rPr/>
      </w:pPr>
      <w:r>
        <w:rPr>
          <w:rFonts w:ascii="Times New Roman;serif" w:hAnsi="Times New Roman;serif"/>
          <w:b w:val="false"/>
          <w:color w:val="000000"/>
          <w:sz w:val="20"/>
        </w:rPr>
        <w:t xml:space="preserve">As of June 30, 2026, White Mountains conducted its operations through five reportable segments: (1) Ark/WM Outrigger, (2) Kudu, (3) HG Global, (4) Distinguished and (5) WTM Partners, with its remaining operating businesses, holding companies and other assets included in Other Operations. Beginning in second quarter of 2026, in conjunction with its recent acquisitions, WTM Partners is presented as a separate reportable segment. White Mountains has made its segment determination based on consideration of the following criteria: (i) the nature of the business activities of each of the Company’s subsidiaries and affiliates; (ii) the manner in which the Company’s subsidiaries and affiliates are organized; (iii) the existence of primary managers responsible for specific subsidiaries and affiliates; and (iv) the organization of information provided to the Company’s chief operating decision maker (“CODM”) and its Board of Directors. See </w:t>
      </w:r>
      <w:r>
        <w:rPr>
          <w:rFonts w:ascii="Times New Roman;serif" w:hAnsi="Times New Roman;serif"/>
          <w:b/>
          <w:color w:val="000000"/>
          <w:sz w:val="20"/>
        </w:rPr>
        <w:t>Note 14 — “Segment Information.”</w:t>
      </w:r>
      <w:r>
        <w:rPr>
          <w:color w:val="000000"/>
        </w:rPr>
        <w:t xml:space="preserv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Ark/WM Outrigger segment consists of Ark Insurance Holdings Limited and its subsidiaries (collectively, “Ark”) and Outrigger Re Ltd. Segregated Account 2023-1 (“WM Outrigger Re”) (collectively with Ark, “Ark/WM Outrigger”). Ark is a specialty property and casualty insurance and reinsurance company that offers a wide range of niche insurance and reinsurance products, including property, specialty, marine &amp; energy, casualty and accident &amp; health. Ark underwrites select coverages through Lloyd’s Syndicates 4020 and 3902 and Additional Central Settlement Number (“ACSN”) 3832 (collectively, the “Syndicates”) and its wholly-owned subsidiary Group Ark Insurance Limited (“GAIL”). As of June 30, 2026 and December 31, 2025, White Mountains owned 72.1% and 72.1% of Ark on a basic shares outstanding basis (62.4% and 61.9% after taking account of management’s equity incentives). The remaining shares are owned by current and former employees of Ark. In the future, management rollover shareholders could earn additional shares in Ark if and to the extent that White Mountains achieves certain thresholds for its multiple of invested capital (“MOIC”) return. If fully earned, these shares would represent an additional 12.4% of the shares outstanding as of June 30, 2026, and White Mountains would own 53.5% of Ark on a fully-diluted/fully-converted basis. The liability related to these additional shares is recorded as contingent consideration.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Outrigger Re Ltd. is a Bermuda special purpose insurer and segregated accounts company that provides collateralized reinsurance protection on Ark’s Bermuda global property catastrophe excess of loss portfolio for underwriting years beginning in 2023. As of June 30, 2026 and December 31, 2025, White Mountains owned 100.0% of the preferred equity of its segregated cell, WM Outrigger Re, which participated in the 2023 through 2025 underwriting years. White Mountains consolidates WM Outrigger Re in its financial statements. During the fourth quarter of 2025, Ark renewed Outrigger Re Ltd. for the 2026 underwriting year with $70.0 million of unaffiliated third-party capital. Ark increased its use of traditional quota share reinsurance for 2026, reducing the need for capacity from Outrigger Re Ltd. For the first six months of 2026, White Mountains received $144.9 million of distributions, primarily a return of capital related to its non-renewal for the 2026 underwriting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Kudu segment consists of Kudu Investment Management, LLC and its subsidiaries (collectively, “Kudu”). Kudu provides capital solutions for boutique asset and wealth managers for a variety of purposes including generational ownership transfers, management buyouts, acquisition and growth finance and legacy partner liquidity. Kudu also provides strategic advice to managers from time to time. Kudu’s capital solutions are generally structured as noncontrolling equity interests in the form of revenue and earnings participation contracts (“Participation Contracts”) and designed to generate immediate cash yields. As of June 30, 2026 and December 31, 2025, White Mountains owned 91.3% and 91.2% of Kudu’s basic units outstanding (78.4% and 77.9% on a fully-diluted/fully-converted basis, taking account of management’s equity incentives).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HG Global segment consists of HG Global Ltd. and its wholly-owned subsidiaries (collectively, “HG Global”). HG Global was established to fund the startup of Build America Mutual Assurance Company (“BAM”) and, through its reinsurance subsidiary, HG Re Ltd. (“HG Re”), to provide first-loss reinsurance protection of up to 15%-of-par outstanding for each policy assumed from BAM. HG Global, together with its subsidiaries, funded the initial capitalization of BAM through the purchase of $503.0 million of surplus notes issued by BAM (the “BAM Surplus Notes”). As of June 30, 2026 and December 31, 2025, White Mountains owned 96.9% of HG Global’s preferred equity and 88.4% of its common equity. </w:t>
      </w:r>
    </w:p>
    <w:p>
      <w:pPr>
        <w:pStyle w:val="TextBody"/>
        <w:bidi w:val="0"/>
        <w:spacing w:lineRule="auto" w:line="288" w:before="0" w:after="0"/>
        <w:jc w:val="left"/>
        <w:rPr/>
      </w:pPr>
      <w:r>
        <w:rPr>
          <w:rFonts w:ascii="Times New Roman;serif" w:hAnsi="Times New Roman;serif"/>
          <w:b w:val="false"/>
          <w:color w:val="000000"/>
          <w:sz w:val="20"/>
        </w:rPr>
        <w:t xml:space="preserve">The Distinguished segment consists of WM Phoenix Parent L.P. and its subsidiaries d/b/a Distinguished Programs (collectively, “Distinguished”). Distinguished is a full-service managing general agent (“MGA”) and program administrator for specialty property and casualty insurance. Distinguished places insurance across a diversified portfolio of programs broadly grouped into two verticals. The ScaleCo vertical consists of established programs, primarily focused on real estate and hospitality end markets. The GrowthCo vertical consists of start-up programs, focused on a diversified set of specialty property and casualty insurance products across multiple industries. On behalf of its insurance carrier partners, Distinguished manages various aspects of the placement process, including product development, marketing, underwriting and policy issuance. Distinguished earns commissions based on the volume and profitability of the insurance that it places. Distinguished does not retain insurance risk. On September 2, 2025, White Mountains acquired a controlling financial interest in Distinguished. As of June 30, 2026 and December 31, 2025, White Mountains owned 55.3% and 55.5% of Distinguished on a basic units outstanding basis (43.3% and 43.6% on a fully-diluted/fully-converted basis, taking account of management’s equity incentives). See </w:t>
      </w:r>
      <w:r>
        <w:rPr>
          <w:rFonts w:ascii="Times New Roman;serif" w:hAnsi="Times New Roman;serif"/>
          <w:b/>
          <w:color w:val="000000"/>
          <w:sz w:val="20"/>
        </w:rPr>
        <w:t>Note 2 — “Significant Transactions.”</w:t>
      </w:r>
      <w:r>
        <w:rPr>
          <w:color w:val="000000"/>
        </w:rPr>
        <w:t xml:space="preserve"> </w:t>
      </w:r>
    </w:p>
    <w:p>
      <w:pPr>
        <w:pStyle w:val="TextBody"/>
        <w:bidi w:val="0"/>
        <w:spacing w:lineRule="auto" w:line="288" w:before="0" w:after="0"/>
        <w:jc w:val="left"/>
        <w:rPr/>
      </w:pPr>
      <w:r>
        <w:rPr>
          <w:rFonts w:ascii="Times New Roman;serif" w:hAnsi="Times New Roman;serif"/>
          <w:b w:val="false"/>
          <w:color w:val="000000"/>
          <w:sz w:val="20"/>
        </w:rPr>
        <w:t xml:space="preserve">The WTM Partners segment consists of White Mountains Partners LLC and its operating companies (collectively, “WTM Partners”). WTM Partners acquires and manages businesses on behalf of White Mountains in non-financial services sectors including essential services, light industrial and specialty consumer. WTM Partners’s operating companies include (i) Enterprise Electric, LLC and its subsidiary (collectively, “Enterprise Solutions”) and (ii) BaseSix Systems LLC and its subsidiary (collectively, “Basesix”). On April 1, 2025, WTM Partners acquired a controlling financial interest in Enterprise Solutions, a provider of specialty electrical contracting services. On April 1, 2026, WTM Partners acquired a controlling financial interest in Basesix, a low voltage electrical systems integrator. See </w:t>
      </w:r>
      <w:r>
        <w:rPr>
          <w:rFonts w:ascii="Times New Roman;serif" w:hAnsi="Times New Roman;serif"/>
          <w:b/>
          <w:color w:val="000000"/>
          <w:sz w:val="20"/>
        </w:rPr>
        <w:t>Note 2 — “Significant Transactions.”</w:t>
      </w:r>
      <w:r>
        <w:rPr>
          <w:color w:val="000000"/>
        </w:rPr>
        <w:t xml:space="preserve"> </w:t>
      </w:r>
      <w:r>
        <w:rPr>
          <w:rFonts w:ascii="Times New Roman;serif" w:hAnsi="Times New Roman;serif"/>
          <w:b w:val="false"/>
          <w:color w:val="000000"/>
          <w:sz w:val="20"/>
        </w:rPr>
        <w:t>As of June 30, 2026 and December 31, 2025, WTM Partners owned 71.9% and 65.5% of Enterprise Solutions on a basic units outstanding basis (66.8% and 59.0% on a fully-diluted/fully-converted basis, taking account of management’s equity incentives). As of June 30, 2026, WTM Partners owned 84.4% of Basesix on both a basic units outstanding and fully-diluted/fully-converted basis.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White Mountains’s other operations consist of the Company and its wholly-owned subsidiary, White Mountains Capital LLC (“WM Capital”), its other intermediate holding companies, its wholly-owned investment management subsidiary, White Mountains Advisors LLC (“WM Advisors”), investment assets managed by WM Advisors, its interests in Bamboo Ide8 Insurance Services LLC (“Bamboo MGA”) and its subsidiaries (collectively, “Bamboo”) through a special purpose vehicle (the “Bamboo SPV”), MediaAlpha, Inc. (“MediaAlpha”), DavidShield PassportCard Ltd. and its subsidiaries (collectively, “PassportCard/DavidShield”), BroadStreet Partners, Inc. (“BroadStreet”) through a special purpose vehicle (the “BroadStreet SPV”), Bishop Street Underwriters LLC (“Bishop Street”), Elementum Holdings LP (“Elementum”), certain other consolidated and unconsolidated entities (“Other Operating Businesses”) and certain other assets (collectively, “Other Operations”).</w:t>
      </w:r>
    </w:p>
    <w:p>
      <w:pPr>
        <w:pStyle w:val="TextBody"/>
        <w:bidi w:val="0"/>
        <w:spacing w:lineRule="auto" w:line="288" w:before="0" w:after="0"/>
        <w:jc w:val="left"/>
        <w:rPr/>
      </w:pPr>
      <w:r>
        <w:rPr>
          <w:rFonts w:ascii="Times New Roman;serif" w:hAnsi="Times New Roman;serif"/>
          <w:b w:val="false"/>
          <w:color w:val="000000"/>
          <w:sz w:val="20"/>
        </w:rPr>
        <w:t xml:space="preserve">On December 5, 2025, White Mountains completed the sale of a controlling financial interest in WM Pierce Holdings, Inc. and its subsidiaries, including Bamboo MGA (collectively, the “Bamboo Group”). See </w:t>
      </w:r>
      <w:r>
        <w:rPr>
          <w:rFonts w:ascii="Times New Roman;serif" w:hAnsi="Times New Roman;serif"/>
          <w:b/>
          <w:color w:val="000000"/>
          <w:sz w:val="20"/>
        </w:rPr>
        <w:t xml:space="preserve">Note 2 — “Significant Transactions.” </w:t>
      </w:r>
      <w:r>
        <w:rPr>
          <w:rFonts w:ascii="Times New Roman;serif" w:hAnsi="Times New Roman;serif"/>
          <w:b w:val="false"/>
          <w:color w:val="000000"/>
          <w:sz w:val="20"/>
        </w:rPr>
        <w:t xml:space="preserve">As a result of the sale, White Mountains deconsolidated the Bamboo Group on December 5, 2025, and Bamboo is no longer a reportable segment. Through December 5, 2025, Bamboo’s results of operations were presented within the Bamboo segment. See </w:t>
      </w:r>
      <w:r>
        <w:rPr>
          <w:rFonts w:ascii="Times New Roman;serif" w:hAnsi="Times New Roman;serif"/>
          <w:b/>
          <w:color w:val="000000"/>
          <w:sz w:val="20"/>
        </w:rPr>
        <w:t>Note 14 — “Segment Information.”</w:t>
      </w:r>
      <w:r>
        <w:rPr>
          <w:color w:val="000000"/>
        </w:rPr>
        <w:t xml:space="preserve"> </w:t>
      </w:r>
      <w:r>
        <w:rPr>
          <w:rFonts w:ascii="Times New Roman;serif" w:hAnsi="Times New Roman;serif"/>
          <w:b w:val="false"/>
          <w:color w:val="000000"/>
          <w:sz w:val="20"/>
        </w:rPr>
        <w:t>Bamboo is a capital-light, tech- and data-enabled insurance distribution platform providing homeowners’ insurance and related products to the residential property market in California and, beginning in the third quarter of 2025, in Texas. Bamboo operates primarily through Bamboo MGA, its full-service MGA business, where the company manages all aspects of the placement process on behalf of its fronting and reinsurance carrier partners, including product development, marketing, underwriting, policy issuance and claims oversight, and it earns commissions based on the volume and profitability of the insurance that it places. Bamboo MGA offers both admitted and non-admitted products.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Significant Accounting Policies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to the following, refer to the Notes to Consolidated Financial Statements in the Company’s 2025 Annual Report on Form 10-K for a complete discussion regarding White Mountains’s significant accounting policies.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WTM Partners recognizes product and service revenues, consisting of construction revenues from specialty electrical contracting services and low voltage electrical systems integration services provided to commercial and institutional customers, when it has satisfied its performance obligations and control of the promised goods or services has been transferred to the customer. Product and service revenues are recognized over time using the cost-to-cost percentage of completion input method, based on the ratio of contract costs incurred to date compared to total estimated contract costs. Contract costs incurred to date and expected total contract costs are monitored during the term of the contract. WTM Partners’s billings are generally based on contractual terms and may not coincide with its progress in a project. WTM Partners records accounts receivable for amounts billed to the customer, net of a provision for amounts estimated to be uncollectible. If the recognized revenue is greater than the amount billed to the customer, a contract asset is recorded. Contract assets also include amounts billed under retainage provisions that cannot be collected until the contract work has been completed and approved. If the amount billed to the customer is greater than the recognized revenue, a contract liability is recorded.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Cost of Sales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WTM Partners incurs various expenses directly related to the performance of its construction contracts, which are recorded in cost of sales. These costs consist primarily of materials, salaries and related expenses, costs paid to subcontractors and other job-related costs. These expenses are recognized as incurred.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bookmarkStart w:id="0" w:name="i03707ca45eab42468b1b92740f86acae_8903"/>
      <w:bookmarkEnd w:id="0"/>
      <w:r>
        <w:rPr>
          <w:rFonts w:ascii="Times New Roman;serif" w:hAnsi="Times New Roman;serif"/>
          <w:b/>
          <w:color w:val="000000"/>
          <w:sz w:val="20"/>
          <w:u w:val="single"/>
        </w:rPr>
        <w:t>Note 2. Significant Transactions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Bamboo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December 5, 2025, White Mountains completed the sale of a controlling financial interest in the Bamboo Group to affiliates of funds advised by CVC Capital Partners (“CVC”), pursuant to the terms of the securities purchase agreement dated October 2, 2025 (the “Bamboo SPA”). Under the terms of the Bamboo SPA, White Mountains sold approximately 77.3% of its equity interest in the Bamboo Group for net cash proceeds at closing of $847.9 million and retained an indirect equity interest valued at closing at $250.0 million (the “Bamboo Sale Transaction”). In the first quarter of 2026, White Mountains received $6.0 million of incremental proceeds, including $3.6 million of proceeds held in escrow and $2.4 million of purchase price adjustments. As a result, White Mountains recognized an incremental gain on sale of the Bamboo Group of $2.4 million in the first quarter of 2026, bringing the total net transaction gain to $818.7 million. The total net transaction gain is comprised of an $851.7 million net gain on sale of the Bamboo Group, partially offset by $33.0 million of parent compensation costs recorded within general and administrative expenses during 2025.</w:t>
      </w:r>
    </w:p>
    <w:p>
      <w:pPr>
        <w:pStyle w:val="TextBody"/>
        <w:bidi w:val="0"/>
        <w:spacing w:lineRule="auto" w:line="288" w:before="0" w:after="0"/>
        <w:jc w:val="left"/>
        <w:rPr/>
      </w:pPr>
      <w:r>
        <w:rPr>
          <w:rFonts w:ascii="Times New Roman;serif" w:hAnsi="Times New Roman;serif"/>
          <w:b w:val="false"/>
          <w:color w:val="000000"/>
          <w:sz w:val="20"/>
        </w:rPr>
        <w:t xml:space="preserve">At closing, White Mountains had a 27.9% limited partnership interest in the Bamboo SPV and a 17.2% basic ownership interest in Bamboo on a look-through basis (14.6% on a fully-diluted/fully-converted basis, taking account of management’s equity incentives). White Mountains has taken the fair value option for its noncontrolling equity interest in the Bamboo SPV, which is accounted for at fair value in other long-term investments within Other Operations. See </w:t>
      </w:r>
      <w:r>
        <w:rPr>
          <w:rFonts w:ascii="Times New Roman;serif" w:hAnsi="Times New Roman;serif"/>
          <w:b/>
          <w:color w:val="000000"/>
          <w:sz w:val="20"/>
        </w:rPr>
        <w:t>Note 3 — “Investment Securities”</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color w:val="000000"/>
          <w:sz w:val="20"/>
        </w:rPr>
        <w:t>Note 15 — “Variable Interest Entities.”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Distinguished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On September 2, 2025, White Mountains acquired a controlling financial interest in Distinguished (the “Distinguished Transaction”). White Mountains funded the Distinguished Transaction through a combination of cash on hand and new borrowings by Distinguished. White Mountains paid $224.8 million of cash consideration, including a post-closing purchase price adjustment of $0.5 million. In addition, Distinguished borrowed $50.0 million of incremental debt and utilized $6.8 million of cash on hand as part of the transaction. At closing, White Mountains owned 55.5%, inclusive of its 1.7% previously-held interest, of Distinguished on a basic units outstanding basis (43.6% on a fully-diluted/fully-converted basis, taking account of management’s equity incentives). At closing, 4.2% of the basic units outstanding are owned by Distinguished management (24.7% on a fully-diluted/fully-converted basis). As part of the Distinguished Transaction, WM Phoenix GP, LLC, an indirect wholly-owned subsidiary of the Company, became the general partner of Distinguished. As the general partner, White Mountains has control over all activities of Distinguished subject to consent rights held by certain limited partners. As a result, White Mountains will continue to control Distinguished even if its economic interest falls below 50.0%. See </w:t>
      </w:r>
      <w:r>
        <w:rPr>
          <w:rFonts w:ascii="Times New Roman;serif" w:hAnsi="Times New Roman;serif"/>
          <w:b/>
          <w:color w:val="000000"/>
          <w:sz w:val="20"/>
        </w:rPr>
        <w:t>Note 15 — “Variable Interest Entities.”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On September 5, 2028, the third anniversary of the closing of the Distinguished Transaction, certain noncontrolling unitholders will have the option to sell additional units representing 31.3% of Distinguished’s basic units outstanding as of June 30, 2026 to White Mountains at the same unit price paid in the Distinguished Transaction less aggregate per unit distributions. As of June 30, 2026, the redemption value would be $131.5 million if exercised in full. Noncontrolling interests with optional redemption features that are not within White Mountains’s control are classified as redeemable noncontrolling interests. See </w:t>
      </w:r>
      <w:r>
        <w:rPr>
          <w:rFonts w:ascii="Times New Roman;serif" w:hAnsi="Times New Roman;serif"/>
          <w:b/>
          <w:color w:val="000000"/>
          <w:sz w:val="20"/>
        </w:rPr>
        <w:t>Note 13 — “Noncontrolling Interests.”</w:t>
      </w:r>
      <w:r>
        <w:rPr>
          <w:color w:val="000000"/>
        </w:rPr>
        <w:t xml:space="preserve"> </w:t>
      </w:r>
      <w:r>
        <w:rPr>
          <w:rFonts w:ascii="Times New Roman;serif" w:hAnsi="Times New Roman;serif"/>
          <w:b w:val="false"/>
          <w:color w:val="000000"/>
          <w:sz w:val="20"/>
        </w:rPr>
        <w:t>In addition, White Mountains will have the parallel option to purchase such units at 1.35 times the unit price paid in the Distinguished Transaction less aggregate per unit distributions.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White Mountains recognized total assets acquired related to the Distinguished Transaction of $745.1 million, including goodwill and other intangible assets of $620.0 million, total liabilities assumed of $250.9 million, redeemable noncontrolling interests of $133.5 million and nonredeemable noncontrolling interest of $73.8 million, reflecting provisional acquisition date fair values. The goodwill and other intangible assets acquired and total liabilities assumed include a $1.2 million measurement period adjustment recognized in the first quarter of 2026. In connection with the acquisition, White Mountains incurred transaction costs of $6.8 million in Other Operations.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presents additional details of the net assets acquired as of the September 2, 2025 acquisition date:</w:t>
      </w:r>
    </w:p>
    <w:tbl>
      <w:tblPr>
        <w:tblW w:w="6766" w:type="dxa"/>
        <w:jc w:val="center"/>
        <w:tblInd w:w="0" w:type="dxa"/>
        <w:tblLayout w:type="fixed"/>
        <w:tblCellMar>
          <w:top w:w="28" w:type="dxa"/>
          <w:left w:w="28" w:type="dxa"/>
          <w:bottom w:w="28" w:type="dxa"/>
          <w:right w:w="28" w:type="dxa"/>
        </w:tblCellMar>
      </w:tblPr>
      <w:tblGrid>
        <w:gridCol w:w="1592"/>
        <w:gridCol w:w="1402"/>
        <w:gridCol w:w="1416"/>
        <w:gridCol w:w="109"/>
        <w:gridCol w:w="109"/>
        <w:gridCol w:w="109"/>
        <w:gridCol w:w="887"/>
        <w:gridCol w:w="493"/>
        <w:gridCol w:w="495"/>
        <w:gridCol w:w="154"/>
      </w:tblGrid>
      <w:tr>
        <w:trPr/>
        <w:tc>
          <w:tcPr>
            <w:tcW w:w="1592"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of September 2,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Short-term investments, at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(restricted $0.4)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Premiums, commissions and fees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Premiums and commissions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Net tangible assets acquired (liabilities assumed)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Goodwill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Deferred tax liabilities related to investment basis differences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assets acquired</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87"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8"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494.2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5"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Under the acquisition method, White Mountains recognizes and measures the assets acquired, including other intangible assets, and liabilities assumed at their estimated fair values as of the acquisition date. The majority of the tangible assets acquired and liabilities assumed were recorded at their carrying values, as their carrying values approximated fair value due to their short-term nature. The fair values of other intangible assets represent management’s best estimates utilizing certain unobservable inputs and are considered to be Level 3 measurements. The valuations are based upon: (i) established valuation techniques, including the income approach, (ii) reasonable assumptions and, (iii) where appropriate, valuations performed by independent third parties. The income approach estimates fair value based on the present value of the cash flows that the assets are expected to generate in the future. White Mountains developed internal estimates for the expected future cash flows and discount rates used in the present value calculations. See </w:t>
      </w:r>
      <w:r>
        <w:rPr>
          <w:rFonts w:ascii="Times New Roman;serif" w:hAnsi="Times New Roman;serif"/>
          <w:b/>
          <w:color w:val="000000"/>
          <w:sz w:val="20"/>
        </w:rPr>
        <w:t>Note 4 — “Goodwill and Other Intangible Assets.”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value of the redeemable noncontrolling interests was recorded at the acquisition date fair value based on the valuation implied in the Distinguished Transaction, adjusted for the value of the embedded put and call rights. The value of the embedded put and call rights was estimated using an option pricing approach, incorporating assumptions for expected volatility, time to exercise, risk-free interest rates and other contractual terms of the instruments.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value of the nonredeemable noncontrolling interests was recorded at the acquisition date fair value based on the valuation implied in the Distinguished Transaction.</w:t>
      </w:r>
    </w:p>
    <w:p>
      <w:pPr>
        <w:pStyle w:val="TextBody"/>
        <w:bidi w:val="0"/>
        <w:spacing w:lineRule="auto" w:line="288" w:before="0" w:after="0"/>
        <w:jc w:val="left"/>
        <w:rPr/>
      </w:pPr>
      <w:r>
        <w:rPr>
          <w:rFonts w:ascii="Times New Roman;serif" w:hAnsi="Times New Roman;serif"/>
          <w:b w:val="false"/>
          <w:color w:val="000000"/>
          <w:sz w:val="20"/>
        </w:rPr>
        <w:t xml:space="preserve">Distinguished’s segment revenue and earnings since acquisition are presented in </w:t>
      </w:r>
      <w:r>
        <w:rPr>
          <w:rFonts w:ascii="Times New Roman;serif" w:hAnsi="Times New Roman;serif"/>
          <w:b/>
          <w:color w:val="000000"/>
          <w:sz w:val="20"/>
        </w:rPr>
        <w:t>Note 14 — “Segment Information.”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November 1, 2025, Distinguished sold a non-core, sports and prize indemnity program for net proceeds of $33.6 million. Goodwill of $23.6 million and other intangible assets of $9.3 million were attributed to the business sold and derecognized as a result of the sale.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BroadStreet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On July 18, 2025, White Mountains deployed $150.0 million into BroadStreet through the BroadStreet SPV. BroadStreet is an insurance brokerage company with a presence in all 50 U.S. states and ten Canadian provinces. BroadStreet focuses on commercial and personal property &amp; casualty insurance and employee benefits. White Mountains has taken the fair value option for its noncontrolling equity interest in the BroadStreet SPV, which is accounted for at fair value using net asset value (“NAV”) as a practical expedient and is included in other long-term investments within Other Operations. At closing, White Mountains had a 10.9% limited partnership interest in the BroadStreet SPV and a less than 5.0% ownership interest in BroadStreet on a look-through basis. See </w:t>
      </w:r>
      <w:r>
        <w:rPr>
          <w:rFonts w:ascii="Times New Roman;serif" w:hAnsi="Times New Roman;serif"/>
          <w:b/>
          <w:color w:val="000000"/>
          <w:sz w:val="20"/>
        </w:rPr>
        <w:t>Note 3 — “Investment Securities”</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color w:val="000000"/>
          <w:sz w:val="20"/>
        </w:rPr>
        <w:t>Note 15 — “Variable Interest Entities.”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Bishop Street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On February 26, 2026, White Mountains deployed $125.0 million into Bishop Street. Bishop Street is a diversified platform of MGAs and niche underwriting teams focused on the property and casualty insurance sector. White Mountains has taken the fair value option for its noncontrolling structured capital investment in Bishop Street, which is accounted for at fair value in other long-term investments within Other Operations. See </w:t>
      </w:r>
      <w:r>
        <w:rPr>
          <w:rFonts w:ascii="Times New Roman;serif" w:hAnsi="Times New Roman;serif"/>
          <w:b/>
          <w:color w:val="000000"/>
          <w:sz w:val="20"/>
        </w:rPr>
        <w:t>Note 3 — “Investment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Enterprise Solutions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April 1, 2025, WTM Partners acquired a controlling financial interest in Enterprise Solutions (the “Enterprise Solutions Transaction”). This was the first acquisition by WTM Partners. Enterprise Solutions provides specialty electrical contracting services to commercial and institutional customers. WTM Partners funded the Enterprise Solutions Transaction through a combination of cash on hand and new borrowings by Enterprise Solutions. WTM Partners paid $58.3 million of cash consideration, which included a post-acquisition capital contribution of $1.5 million, and Enterprise Solutions borrowed $15.0 million in new debt as part of the transaction. At closing, WTM Partners owned 65.5% of Enterprise Solutions on a basic units outstanding basis (59.0% on a fully-diluted/fully-converted basis, taking account of management’s equity incentives).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WTM Partners recognized total assets acquired related to Enterprise Solutions of $176.4 million, total liabilities assumed of $74.4 million and noncontrolling interests of $30.6 million. Total assets acquired included $57.7 million of goodwill and $37.6 million of other intangible assets. In connection with the acquisition, WTM Partners incurred transaction costs of $3.0 million.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May 1, 2026, Enterprise Solutions acquired a controlling financial interest in Hawkeye Electric, LLC (“Hawkeye Electric”) (the “Hawkeye Electric Transaction”). Hawkeye Electric provides specialty electrical contracting services to commercial and institutional customers. Enterprise Solutions funded the Hawkeye Electric Transaction through a combination of equity contributions of $34.9 million from WTM Partners and $6.0 million from noncontrolling interest holders as well as new borrowings. Enterprise Solutions paid $67.2 million of cash consideration, including net debt financing of $26.3 million. In addition, Hawkeye Electric utilized $5.9 million of cash on hand as part of the transaction. At closing, Enterprise Solutions owned 100% of Hawkeye Electric.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WTM Partners recognized total assets acquired related to Hawkeye Electric of $85.5 million and total liabilities assumed of $12.4 million, reflecting provisional acquisition date fair values. Total assets acquired included $54.6 million of goodwill and other intangible assets, reflecting provisional acquisition date fair values. In connection with the acquisition, WTM Partners incurred transaction costs of $2.1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Basesix</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April 1, 2026, WTM Partners acquired a controlling financial interest in Basesix (the “Basesix Transaction”). Basesix provides low voltage electrical systems integration services to commercial and institutional customers. WTM Partners funded the Basesix Transaction through a combination of cash on hand and new borrowings by Basesix. WTM Partners paid $96.8 million of cash consideration, which included a post-acquisition capital contribution of $1.0 million, and Basesix borrowed $20.0 million in new debt as part of the transaction. At closing, WTM Partners owned 84.4% of Basesix on both a basic units outstanding and fully-diluted/fully-converted basis.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WTM Partners recognized total assets acquired related to Basesix of $158.9 million, total liabilities assumed of $17.7 million and noncontrolling interests of $17.8 million, reflecting provisional acquisition date fair values. Total assets acquired included $126.0 million of goodwill and other intangible assets, reflecting provisional acquisition date fair values. In connection with the acquisition, WTM Partners incurred transaction costs of $2.6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Unaudited supplemental pro forma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White Mountains’s unaudited pro forma revenues were $851.8 million and $1,409.8 million for the three and six months ended June 30, 2026 compared to $777.0 million and $1,469.3 million for the three and six months ended June 30, 2025. The pro forma revenues include revenues from Distinguished, Enterprise Solutions, Basesix and Hawkeye Electric as if the acquisitions had occurred on January 1, 2025. The pro forma revenues are presented for comparative purposes only and are not necessarily indicative of the operating results that White Mountains would have recognized had the acquisitions actually been completed on January 1, 2025. The pro forma revenues have been calculated after applying White Mountains’s accounting policies and do not include any material, nonrecurring pro forma adjustments. Impacts to White Mountains’s unaudited pro forma earnings were not material to the amounts previously reported.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Note 3.  Investment Securities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White Mountains’s portfolio of investment securities held for general investment purposes consists of fixed maturity investments, short-term investments, common equity securities, its investment in MediaAlpha and other long-term investments.</w:t>
      </w:r>
      <w:r>
        <w:rPr>
          <w:color w:val="000000"/>
        </w:rPr>
        <w:t xml:space="preserve"> </w:t>
      </w:r>
      <w:r>
        <w:rPr>
          <w:rFonts w:ascii="Times New Roman;serif" w:hAnsi="Times New Roman;serif"/>
          <w:b w:val="false"/>
          <w:color w:val="000000"/>
          <w:sz w:val="20"/>
        </w:rPr>
        <w:t>White Mountains’s portfolio of fixed maturity investments, including those within short-term investments, is classified as trading securities. Trading securities are reported at fair value as of the balance sheet date. Short-term investments also include interest-bearing money market funds and certificates of deposit that are carried at fair value. White Mountains’s portfolio of common equity securities, its investment in MediaAlpha and other long-term investments are measured at fair value.</w:t>
      </w:r>
      <w:r>
        <w:rPr>
          <w:color w:val="000000"/>
        </w:rPr>
        <w:t xml:space="preserve"> </w:t>
      </w:r>
      <w:r>
        <w:rPr>
          <w:rFonts w:ascii="Times New Roman;serif" w:hAnsi="Times New Roman;serif"/>
          <w:b w:val="false"/>
          <w:color w:val="000000"/>
          <w:sz w:val="20"/>
        </w:rPr>
        <w:t>Other long-term investments consist primarily of unconsolidated entities, including Kudu’s Participation Contracts, the Bamboo SPV, the BroadStreet SPV, PassportCard/DavidShield and Bishop Street, as well as private equity funds and hedge funds, a bank loan fund and Lloyd’s trust deposits.</w:t>
      </w:r>
      <w:r>
        <w:rPr>
          <w:color w:val="000000"/>
        </w:rPr>
        <w:t xml:space="preserve"> </w:t>
      </w:r>
      <w:r>
        <w:rPr>
          <w:rFonts w:ascii="Times New Roman;serif" w:hAnsi="Times New Roman;serif"/>
          <w:b w:val="false"/>
          <w:color w:val="000000"/>
          <w:sz w:val="20"/>
        </w:rPr>
        <w:t xml:space="preserve">White Mountains has generally taken the fair value option for its equity method eligible investments. See </w:t>
      </w:r>
      <w:r>
        <w:rPr>
          <w:rFonts w:ascii="Times New Roman;serif" w:hAnsi="Times New Roman;serif"/>
          <w:b/>
          <w:color w:val="000000"/>
          <w:sz w:val="20"/>
        </w:rPr>
        <w:t xml:space="preserve">Note 16 — </w:t>
      </w:r>
      <w:r>
        <w:rPr>
          <w:color w:val="000000"/>
        </w:rPr>
        <w:t>“</w:t>
      </w:r>
      <w:r>
        <w:rPr>
          <w:rFonts w:ascii="Times New Roman;serif" w:hAnsi="Times New Roman;serif"/>
          <w:b/>
          <w:color w:val="000000"/>
          <w:sz w:val="20"/>
        </w:rPr>
        <w:t>Equity Method Eligible Investments.</w:t>
      </w:r>
      <w:r>
        <w:rPr>
          <w:color w:val="000000"/>
        </w:rPr>
        <w:t xml:space="preserve">” </w:t>
      </w:r>
      <w:r>
        <w:rPr>
          <w:rFonts w:ascii="Times New Roman;serif" w:hAnsi="Times New Roman;serif"/>
          <w:b w:val="false"/>
          <w:color w:val="000000"/>
          <w:sz w:val="20"/>
        </w:rPr>
        <w:t>Net realized and unrealized investment gains (losses) are reported in pre-tax revenues.</w:t>
      </w:r>
    </w:p>
    <w:p>
      <w:pPr>
        <w:pStyle w:val="TextBody"/>
        <w:bidi w:val="0"/>
        <w:spacing w:lineRule="auto" w:line="288" w:before="0" w:after="0"/>
        <w:jc w:val="left"/>
        <w:rPr/>
      </w:pPr>
      <w:r>
        <w:rPr>
          <w:rFonts w:ascii="Times New Roman;serif" w:hAnsi="Times New Roman;serif"/>
          <w:b w:val="false"/>
          <w:color w:val="000000"/>
          <w:sz w:val="20"/>
        </w:rPr>
        <w:t xml:space="preserve">Effective December 5, 2025, White Mountains no longer consolidates Bamboo. Through December 5, 2025, White Mountains’s consolidated financial statements included Bamboo’s investment results. See </w:t>
      </w:r>
      <w:r>
        <w:rPr>
          <w:rFonts w:ascii="Times New Roman;serif" w:hAnsi="Times New Roman;serif"/>
          <w:b/>
          <w:color w:val="000000"/>
          <w:sz w:val="20"/>
        </w:rPr>
        <w:t>Note 2 — “Significant Transactions.”</w:t>
      </w:r>
    </w:p>
    <w:p>
      <w:pPr>
        <w:pStyle w:val="TextBody"/>
        <w:bidi w:val="0"/>
        <w:spacing w:lineRule="auto" w:line="288" w:before="0" w:after="0"/>
        <w:jc w:val="left"/>
        <w:rPr/>
      </w:pPr>
      <w:r>
        <w:rPr>
          <w:rFonts w:ascii="Times New Roman;serif" w:hAnsi="Times New Roman;serif"/>
          <w:b w:val="false"/>
          <w:color w:val="000000"/>
          <w:sz w:val="20"/>
        </w:rPr>
        <w:t xml:space="preserve">White Mountains’s portfolio of investment securities includes investments classified as assets held for sale. See </w:t>
      </w:r>
      <w:r>
        <w:rPr>
          <w:rFonts w:ascii="Times New Roman;serif" w:hAnsi="Times New Roman;serif"/>
          <w:b/>
          <w:color w:val="000000"/>
          <w:sz w:val="20"/>
        </w:rPr>
        <w:t>Note 19 — “Held for Sale.”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Net Investment Income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White Mountains’s net investment income is comprised primarily of interest income associated with White Mountains’s fixed maturity investments and short-term investments, dividend income from common equity securities and distributions from other long-term investments.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pre-tax net investment income for the three and six months ended June 30, 2026 and 2025:</w:t>
      </w:r>
    </w:p>
    <w:tbl>
      <w:tblPr>
        <w:tblW w:w="7950" w:type="dxa"/>
        <w:jc w:val="center"/>
        <w:tblInd w:w="0" w:type="dxa"/>
        <w:tblLayout w:type="fixed"/>
        <w:tblCellMar>
          <w:top w:w="28" w:type="dxa"/>
          <w:left w:w="28" w:type="dxa"/>
          <w:bottom w:w="28" w:type="dxa"/>
          <w:right w:w="28" w:type="dxa"/>
        </w:tblCellMar>
      </w:tblPr>
      <w:tblGrid>
        <w:gridCol w:w="1003"/>
        <w:gridCol w:w="881"/>
        <w:gridCol w:w="891"/>
        <w:gridCol w:w="109"/>
        <w:gridCol w:w="109"/>
        <w:gridCol w:w="109"/>
        <w:gridCol w:w="238"/>
        <w:gridCol w:w="594"/>
        <w:gridCol w:w="123"/>
        <w:gridCol w:w="123"/>
        <w:gridCol w:w="123"/>
        <w:gridCol w:w="123"/>
        <w:gridCol w:w="238"/>
        <w:gridCol w:w="577"/>
        <w:gridCol w:w="123"/>
        <w:gridCol w:w="109"/>
        <w:gridCol w:w="109"/>
        <w:gridCol w:w="109"/>
        <w:gridCol w:w="211"/>
        <w:gridCol w:w="631"/>
        <w:gridCol w:w="109"/>
        <w:gridCol w:w="109"/>
        <w:gridCol w:w="109"/>
        <w:gridCol w:w="109"/>
        <w:gridCol w:w="211"/>
        <w:gridCol w:w="616"/>
        <w:gridCol w:w="154"/>
      </w:tblGrid>
      <w:tr>
        <w:trPr/>
        <w:tc>
          <w:tcPr>
            <w:tcW w:w="1003"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7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31.8</w:t>
            </w:r>
            <w:r>
              <w:rPr>
                <w:color w:val="000000"/>
              </w:rPr>
              <w:t>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11.3</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27.9</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71.4</w:t>
            </w:r>
            <w:r>
              <w:rPr>
                <w:color w:val="000000"/>
              </w:rPr>
              <w:t>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143.3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Third-party investment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 pre-tax</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70.9</w:t>
            </w:r>
            <w:r>
              <w:rPr>
                <w:color w:val="000000"/>
              </w:rPr>
              <w:t> </w:t>
            </w:r>
          </w:p>
        </w:tc>
        <w:tc>
          <w:tcPr>
            <w:tcW w:w="1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142.3</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180"/>
        <w:jc w:val="left"/>
        <w:rPr/>
      </w:pPr>
      <w:r>
        <w:rPr/>
      </w:r>
    </w:p>
    <w:p>
      <w:pPr>
        <w:pStyle w:val="TextBody"/>
        <w:bidi w:val="0"/>
        <w:spacing w:before="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60" w:after="283"/>
        <w:jc w:val="left"/>
        <w:rPr>
          <w:rFonts w:ascii="Times New Roman;serif" w:hAnsi="Times New Roman;serif"/>
          <w:b/>
          <w:color w:val="000000"/>
          <w:sz w:val="20"/>
        </w:rPr>
      </w:pPr>
      <w:r>
        <w:rPr>
          <w:rFonts w:ascii="Times New Roman;serif" w:hAnsi="Times New Roman;serif"/>
          <w:b/>
          <w:color w:val="000000"/>
          <w:sz w:val="20"/>
        </w:rPr>
        <w:t>Net Realized and Unrealized Investment Gains (Losses)</w:t>
      </w:r>
    </w:p>
    <w:p>
      <w:pPr>
        <w:pStyle w:val="TextBody"/>
        <w:bidi w:val="0"/>
        <w:spacing w:before="60"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net realized and unrealized investment gains (losses) for the three and six months ended June 30, 2026 and 2025:</w:t>
      </w:r>
    </w:p>
    <w:tbl>
      <w:tblPr>
        <w:tblW w:w="10205" w:type="dxa"/>
        <w:jc w:val="center"/>
        <w:tblInd w:w="0" w:type="dxa"/>
        <w:tblLayout w:type="fixed"/>
        <w:tblCellMar>
          <w:top w:w="28" w:type="dxa"/>
          <w:left w:w="28" w:type="dxa"/>
          <w:bottom w:w="28" w:type="dxa"/>
          <w:right w:w="28" w:type="dxa"/>
        </w:tblCellMar>
      </w:tblPr>
      <w:tblGrid>
        <w:gridCol w:w="1843"/>
        <w:gridCol w:w="1590"/>
        <w:gridCol w:w="1608"/>
        <w:gridCol w:w="109"/>
        <w:gridCol w:w="109"/>
        <w:gridCol w:w="109"/>
        <w:gridCol w:w="214"/>
        <w:gridCol w:w="642"/>
        <w:gridCol w:w="110"/>
        <w:gridCol w:w="110"/>
        <w:gridCol w:w="110"/>
        <w:gridCol w:w="110"/>
        <w:gridCol w:w="214"/>
        <w:gridCol w:w="627"/>
        <w:gridCol w:w="110"/>
        <w:gridCol w:w="109"/>
        <w:gridCol w:w="109"/>
        <w:gridCol w:w="109"/>
        <w:gridCol w:w="211"/>
        <w:gridCol w:w="631"/>
        <w:gridCol w:w="109"/>
        <w:gridCol w:w="109"/>
        <w:gridCol w:w="109"/>
        <w:gridCol w:w="109"/>
        <w:gridCol w:w="211"/>
        <w:gridCol w:w="616"/>
        <w:gridCol w:w="158"/>
      </w:tblGrid>
      <w:tr>
        <w:trPr/>
        <w:tc>
          <w:tcPr>
            <w:tcW w:w="1843"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Realized investment 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w:t>
            </w: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5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35.1</w:t>
            </w: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realized investment gains (losses)</w:t>
            </w:r>
            <w:r>
              <w:rPr>
                <w:color w:val="000000"/>
              </w:rPr>
              <w:t xml:space="preserve"> </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34.5</w:t>
            </w:r>
            <w:r>
              <w:rPr>
                <w:color w:val="000000"/>
              </w:rPr>
              <w:t>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Unrealized investment 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(3.8)</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42.3</w:t>
            </w: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MediaAlpha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58.4</w:t>
            </w: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77.6</w:t>
            </w: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133.7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unrealized investment 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174.5</w:t>
            </w:r>
            <w:r>
              <w:rPr>
                <w:color w:val="000000"/>
              </w:rPr>
              <w:t>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5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504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realized and unrealized investment gains (losses)</w:t>
            </w:r>
            <w:r>
              <w:rPr>
                <w:color w:val="000000"/>
              </w:rPr>
              <w:t xml:space="preserve"> </w:t>
            </w:r>
            <w:r>
              <w:rPr>
                <w:rFonts w:ascii="Times New Roman;serif" w:hAnsi="Times New Roman;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209.0</w:t>
            </w:r>
            <w:r>
              <w:rPr>
                <w:color w:val="000000"/>
              </w:rPr>
              <w:t>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117.3 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154.6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Fixed maturity and short-term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Net realized and unrealized investment 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(5.6)</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realized and unrealized gains (losses) on investment</w:t>
              <w:br/>
              <w:t>   securities sold during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unrealized investment gains (losses) recognized during the period on </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investment securities held at the end of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(5.1)</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(26.2)</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Common equity securities and investment in MediaAlpha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realized and unrealized investment gains (losses) on common </w:t>
              <w:br/>
              <w:t>   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2"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43.5</w:t>
            </w: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and unrealized investment gains (losses) from</w:t>
              <w:br/>
              <w:t>    investment in MediaAlpha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58.4</w:t>
            </w: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net realized and unrealized investment gains (losses)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101.9</w:t>
            </w:r>
            <w:r>
              <w:rPr>
                <w:color w:val="000000"/>
              </w:rPr>
              <w:t>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Less: net realized and unrealized gains (losses) on investment </w:t>
              <w:br/>
              <w:t>   securities sold during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w:t>
            </w: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unrealized investment gains (losses) recognized during the period on </w:t>
              <w:br/>
              <w:t>   investment securities held at the end of the period</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100.9</w:t>
            </w:r>
            <w:r>
              <w:rPr>
                <w:color w:val="000000"/>
              </w:rPr>
              <w:t> </w:t>
            </w:r>
          </w:p>
        </w:tc>
        <w:tc>
          <w:tcPr>
            <w:tcW w:w="1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12.6</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18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 xml:space="preserve">For the three months ended June 30, 2026 and 2025, White Mountains recognized gross realized investment gains of $38.3 and $40.6 and gross realized investment losses of $(3.8) and $(2.8) on sales of investment securities. For the six months ended June 30, 2026 and 2025, White Mountains recognized gross realized investment gains of $57.7 and $82.0 and gross realized investment losses of $(8.9) and $(3.9) on sales of investment securities. </w:t>
      </w:r>
    </w:p>
    <w:p>
      <w:pPr>
        <w:pStyle w:val="TextBody"/>
        <w:bidi w:val="0"/>
        <w:spacing w:lineRule="auto" w:line="288" w:before="60" w:after="283"/>
        <w:ind w:left="0" w:right="0" w:hanging="180"/>
        <w:jc w:val="left"/>
        <w:rPr/>
      </w:pPr>
      <w:r>
        <w:rPr>
          <w:rFonts w:ascii="Times New Roman;serif" w:hAnsi="Times New Roman;serif"/>
          <w:b w:val="false"/>
          <w:color w:val="000000"/>
          <w:sz w:val="10"/>
        </w:rPr>
        <w:t xml:space="preserve">(2) </w:t>
      </w:r>
      <w:r>
        <w:rPr>
          <w:rFonts w:ascii="Times New Roman;serif" w:hAnsi="Times New Roman;serif"/>
          <w:b w:val="false"/>
          <w:color w:val="000000"/>
          <w:sz w:val="16"/>
        </w:rPr>
        <w:t>For the three months ended June 30, 2026 and 2025, includes $1.0 and $30.1 of net realized and unrealized investment gains (losses) related to foreign currency exchange. For the six months ended, June 30, 2026 and 2025, includes $(5.4) and $37.3 of net realized and unrealized investment gains (losses) related to foreign currency exchange.</w:t>
      </w:r>
    </w:p>
    <w:p>
      <w:pPr>
        <w:pStyle w:val="TextBody"/>
        <w:bidi w:val="0"/>
        <w:spacing w:before="60" w:after="283"/>
        <w:ind w:left="0" w:right="0" w:hanging="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total net unrealized gains (losses) attributable to Level 3 investments for the three and six months ended June 30, 2026 and 2025 for investments still held at the end of the period:</w:t>
      </w:r>
    </w:p>
    <w:tbl>
      <w:tblPr>
        <w:tblW w:w="10205" w:type="dxa"/>
        <w:jc w:val="center"/>
        <w:tblInd w:w="0" w:type="dxa"/>
        <w:tblLayout w:type="fixed"/>
        <w:tblCellMar>
          <w:top w:w="28" w:type="dxa"/>
          <w:left w:w="28" w:type="dxa"/>
          <w:bottom w:w="28" w:type="dxa"/>
          <w:right w:w="28" w:type="dxa"/>
        </w:tblCellMar>
      </w:tblPr>
      <w:tblGrid>
        <w:gridCol w:w="1905"/>
        <w:gridCol w:w="1674"/>
        <w:gridCol w:w="1693"/>
        <w:gridCol w:w="109"/>
        <w:gridCol w:w="109"/>
        <w:gridCol w:w="109"/>
        <w:gridCol w:w="223"/>
        <w:gridCol w:w="557"/>
        <w:gridCol w:w="115"/>
        <w:gridCol w:w="115"/>
        <w:gridCol w:w="115"/>
        <w:gridCol w:w="115"/>
        <w:gridCol w:w="223"/>
        <w:gridCol w:w="541"/>
        <w:gridCol w:w="115"/>
        <w:gridCol w:w="109"/>
        <w:gridCol w:w="109"/>
        <w:gridCol w:w="109"/>
        <w:gridCol w:w="211"/>
        <w:gridCol w:w="631"/>
        <w:gridCol w:w="109"/>
        <w:gridCol w:w="109"/>
        <w:gridCol w:w="109"/>
        <w:gridCol w:w="109"/>
        <w:gridCol w:w="211"/>
        <w:gridCol w:w="511"/>
        <w:gridCol w:w="160"/>
      </w:tblGrid>
      <w:tr>
        <w:trPr/>
        <w:tc>
          <w:tcPr>
            <w:tcW w:w="1905"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2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2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2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net unrealized investment gains (losses) recognized during the period on Level 3 investments held at the end of period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57"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77.5</w:t>
            </w:r>
            <w:r>
              <w:rPr>
                <w:color w:val="000000"/>
              </w:rPr>
              <w:t> </w:t>
            </w:r>
          </w:p>
        </w:tc>
        <w:tc>
          <w:tcPr>
            <w:tcW w:w="11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15"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123.8</w:t>
            </w:r>
            <w:r>
              <w:rPr>
                <w:color w:val="000000"/>
              </w:rPr>
              <w:t>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16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Investment Holdings</w:t>
      </w:r>
    </w:p>
    <w:p>
      <w:pPr>
        <w:pStyle w:val="TextBody"/>
        <w:bidi w:val="0"/>
        <w:spacing w:before="160" w:after="283"/>
        <w:jc w:val="left"/>
        <w:rPr/>
      </w:pPr>
      <w:r>
        <w:r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the cost or amortized cost, gross unrealized investment gains (losses), net foreign currency gains (losses) and carrying value of White Mountains’s fixed maturity investments as of June 30, 2026 and December 31, 2025:</w:t>
      </w:r>
    </w:p>
    <w:tbl>
      <w:tblPr>
        <w:tblW w:w="10205" w:type="dxa"/>
        <w:jc w:val="center"/>
        <w:tblInd w:w="0" w:type="dxa"/>
        <w:tblLayout w:type="fixed"/>
        <w:tblCellMar>
          <w:top w:w="28" w:type="dxa"/>
          <w:left w:w="28" w:type="dxa"/>
          <w:bottom w:w="28" w:type="dxa"/>
          <w:right w:w="28" w:type="dxa"/>
        </w:tblCellMar>
      </w:tblPr>
      <w:tblGrid>
        <w:gridCol w:w="1095"/>
        <w:gridCol w:w="922"/>
        <w:gridCol w:w="929"/>
        <w:gridCol w:w="109"/>
        <w:gridCol w:w="109"/>
        <w:gridCol w:w="109"/>
        <w:gridCol w:w="211"/>
        <w:gridCol w:w="781"/>
        <w:gridCol w:w="109"/>
        <w:gridCol w:w="109"/>
        <w:gridCol w:w="109"/>
        <w:gridCol w:w="109"/>
        <w:gridCol w:w="252"/>
        <w:gridCol w:w="503"/>
        <w:gridCol w:w="131"/>
        <w:gridCol w:w="109"/>
        <w:gridCol w:w="109"/>
        <w:gridCol w:w="109"/>
        <w:gridCol w:w="211"/>
        <w:gridCol w:w="579"/>
        <w:gridCol w:w="109"/>
        <w:gridCol w:w="109"/>
        <w:gridCol w:w="109"/>
        <w:gridCol w:w="109"/>
        <w:gridCol w:w="451"/>
        <w:gridCol w:w="902"/>
        <w:gridCol w:w="235"/>
        <w:gridCol w:w="109"/>
        <w:gridCol w:w="109"/>
        <w:gridCol w:w="109"/>
        <w:gridCol w:w="211"/>
        <w:gridCol w:w="781"/>
        <w:gridCol w:w="158"/>
      </w:tblGrid>
      <w:tr>
        <w:trPr/>
        <w:tc>
          <w:tcPr>
            <w:tcW w:w="1095"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94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2"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or</w:t>
              <w:b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Foreign</w:t>
              <w:br/>
              <w:t>Currency Gains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Value</w:t>
            </w:r>
          </w:p>
        </w:tc>
      </w:tr>
      <w:tr>
        <w:trPr/>
        <w:tc>
          <w:tcPr>
            <w:tcW w:w="2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agency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445.5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442.7</w:t>
            </w:r>
            <w:r>
              <w:rPr>
                <w:color w:val="000000"/>
              </w:rPr>
              <w:t>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 issued by corporations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1,818.0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w:t>
            </w: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w:t>
            </w:r>
            <w:r>
              <w:rPr>
                <w:color w:val="000000"/>
              </w:rPr>
              <w:t>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1,804.7</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and asset-backed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426.8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w:t>
            </w: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410.3</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loan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337.2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w:t>
            </w: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337.7</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government and agency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w:t>
            </w:r>
            <w:r>
              <w:rPr>
                <w:color w:val="000000"/>
              </w:rPr>
              <w:t> </w:t>
            </w:r>
          </w:p>
        </w:tc>
        <w:tc>
          <w:tcPr>
            <w:tcW w:w="2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44.5</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fixed maturity investments</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3,070.9</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0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w:t>
            </w:r>
            <w:r>
              <w:rPr>
                <w:color w:val="000000"/>
              </w:rPr>
              <w:t> </w:t>
            </w:r>
          </w:p>
        </w:tc>
        <w:tc>
          <w:tcPr>
            <w:tcW w:w="1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7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(40.2)</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w:t>
            </w:r>
            <w:r>
              <w:rPr>
                <w:color w:val="000000"/>
              </w:rPr>
              <w:t> </w:t>
            </w:r>
          </w:p>
        </w:tc>
        <w:tc>
          <w:tcPr>
            <w:tcW w:w="2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3,039.9</w:t>
            </w:r>
            <w:r>
              <w:rPr>
                <w:color w:val="000000"/>
              </w:rPr>
              <w:t> </w:t>
            </w:r>
          </w:p>
        </w:tc>
        <w:tc>
          <w:tcPr>
            <w:tcW w:w="1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r>
        <w:trPr/>
        <w:tc>
          <w:tcPr>
            <w:tcW w:w="2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54"/>
        <w:gridCol w:w="1089"/>
        <w:gridCol w:w="1097"/>
        <w:gridCol w:w="109"/>
        <w:gridCol w:w="109"/>
        <w:gridCol w:w="109"/>
        <w:gridCol w:w="211"/>
        <w:gridCol w:w="766"/>
        <w:gridCol w:w="109"/>
        <w:gridCol w:w="109"/>
        <w:gridCol w:w="109"/>
        <w:gridCol w:w="109"/>
        <w:gridCol w:w="224"/>
        <w:gridCol w:w="544"/>
        <w:gridCol w:w="118"/>
        <w:gridCol w:w="109"/>
        <w:gridCol w:w="109"/>
        <w:gridCol w:w="109"/>
        <w:gridCol w:w="211"/>
        <w:gridCol w:w="583"/>
        <w:gridCol w:w="109"/>
        <w:gridCol w:w="109"/>
        <w:gridCol w:w="109"/>
        <w:gridCol w:w="109"/>
        <w:gridCol w:w="324"/>
        <w:gridCol w:w="626"/>
        <w:gridCol w:w="170"/>
        <w:gridCol w:w="109"/>
        <w:gridCol w:w="109"/>
        <w:gridCol w:w="109"/>
        <w:gridCol w:w="211"/>
        <w:gridCol w:w="766"/>
        <w:gridCol w:w="158"/>
      </w:tblGrid>
      <w:tr>
        <w:trPr/>
        <w:tc>
          <w:tcPr>
            <w:tcW w:w="1254"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440"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8" w:type="dxa"/>
            <w:gridSpan w:val="27"/>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or</w:t>
              <w:b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Foreign</w:t>
              <w:br/>
              <w:t>Currency</w:t>
              <w:br/>
              <w:t>Gains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Value</w:t>
            </w:r>
          </w:p>
        </w:tc>
      </w:tr>
      <w:tr>
        <w:trPr/>
        <w:tc>
          <w:tcPr>
            <w:tcW w:w="3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agency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460.3 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 issued by corporations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1,537.7 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5" w:type="dxa"/>
            <w:gridSpan w:val="3"/>
            <w:tcBorders/>
            <w:vAlign w:val="center"/>
          </w:tcPr>
          <w:p>
            <w:pPr>
              <w:pStyle w:val="TableContents"/>
              <w:bidi w:val="0"/>
              <w:spacing w:before="0" w:after="283"/>
              <w:jc w:val="left"/>
              <w:rPr>
                <w:sz w:val="4"/>
                <w:szCs w:val="4"/>
              </w:rPr>
            </w:pPr>
            <w:r>
              <w:rPr>
                <w:sz w:val="4"/>
                <w:szCs w:val="4"/>
              </w:rPr>
            </w:r>
          </w:p>
        </w:tc>
      </w:tr>
      <w:tr>
        <w:trPr/>
        <w:tc>
          <w:tcPr>
            <w:tcW w:w="3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and asset-backed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393.0 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loan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347.0 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government and agency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0"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fixed maturity investments</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2,774.8 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2,770.5 </w:t>
            </w:r>
          </w:p>
        </w:tc>
        <w:tc>
          <w:tcPr>
            <w:tcW w:w="1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cost or amortized cost and carrying value of White Mountains’s fixed maturity investments by contractual maturity as of June 30, 2026 and December 31, 2025. Actual maturities could differ from contractual maturities because borrowers may have the right to call or prepay certain obligations with or without penalties.</w:t>
      </w:r>
    </w:p>
    <w:tbl>
      <w:tblPr>
        <w:tblW w:w="10205" w:type="dxa"/>
        <w:jc w:val="left"/>
        <w:tblInd w:w="0" w:type="dxa"/>
        <w:tblLayout w:type="fixed"/>
        <w:tblCellMar>
          <w:top w:w="28" w:type="dxa"/>
          <w:left w:w="28" w:type="dxa"/>
          <w:bottom w:w="28" w:type="dxa"/>
          <w:right w:w="28" w:type="dxa"/>
        </w:tblCellMar>
      </w:tblPr>
      <w:tblGrid>
        <w:gridCol w:w="1189"/>
        <w:gridCol w:w="917"/>
        <w:gridCol w:w="920"/>
        <w:gridCol w:w="109"/>
        <w:gridCol w:w="109"/>
        <w:gridCol w:w="109"/>
        <w:gridCol w:w="324"/>
        <w:gridCol w:w="1206"/>
        <w:gridCol w:w="170"/>
        <w:gridCol w:w="109"/>
        <w:gridCol w:w="109"/>
        <w:gridCol w:w="109"/>
        <w:gridCol w:w="232"/>
        <w:gridCol w:w="860"/>
        <w:gridCol w:w="119"/>
        <w:gridCol w:w="109"/>
        <w:gridCol w:w="109"/>
        <w:gridCol w:w="109"/>
        <w:gridCol w:w="330"/>
        <w:gridCol w:w="1199"/>
        <w:gridCol w:w="172"/>
        <w:gridCol w:w="109"/>
        <w:gridCol w:w="109"/>
        <w:gridCol w:w="109"/>
        <w:gridCol w:w="233"/>
        <w:gridCol w:w="850"/>
        <w:gridCol w:w="176"/>
      </w:tblGrid>
      <w:tr>
        <w:trPr/>
        <w:tc>
          <w:tcPr>
            <w:tcW w:w="1189"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or 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or 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r>
      <w:tr>
        <w:trPr/>
        <w:tc>
          <w:tcPr>
            <w:tcW w:w="3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 one year or less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360.4</w:t>
            </w:r>
            <w:r>
              <w:rPr>
                <w:color w:val="000000"/>
              </w:rPr>
              <w:t> </w:t>
            </w:r>
          </w:p>
        </w:tc>
        <w:tc>
          <w:tcPr>
            <w:tcW w:w="17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361.0</w:t>
            </w:r>
            <w:r>
              <w:rPr>
                <w:color w:val="000000"/>
              </w:rPr>
              <w:t>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455.3 </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455.2 </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one year through five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1,635.7</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1,623.4</w:t>
            </w: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1,349.8 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1,354.1 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five years through ten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296.8</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293.5</w:t>
            </w: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after ten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14.0</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14.0</w:t>
            </w: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and asset-backed securities and</w:t>
              <w:br/>
              <w:t>   collateralized loan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764.0</w:t>
            </w:r>
            <w:r>
              <w:rPr>
                <w:color w:val="000000"/>
              </w:rPr>
              <w:t> </w:t>
            </w:r>
          </w:p>
        </w:tc>
        <w:tc>
          <w:tcPr>
            <w:tcW w:w="1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748.0</w:t>
            </w: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749.0 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740.0 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26"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maturity investments</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2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3,070.9</w:t>
            </w:r>
            <w:r>
              <w:rPr>
                <w:color w:val="000000"/>
              </w:rPr>
              <w:t> </w:t>
            </w:r>
          </w:p>
        </w:tc>
        <w:tc>
          <w:tcPr>
            <w:tcW w:w="1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3,039.9</w:t>
            </w:r>
            <w:r>
              <w:rPr>
                <w:color w:val="000000"/>
              </w:rPr>
              <w:t> </w:t>
            </w:r>
          </w:p>
        </w:tc>
        <w:tc>
          <w:tcPr>
            <w:tcW w:w="1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2,774.8 </w:t>
            </w:r>
          </w:p>
        </w:tc>
        <w:tc>
          <w:tcPr>
            <w:tcW w:w="1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2,770.5 </w:t>
            </w:r>
          </w:p>
        </w:tc>
        <w:tc>
          <w:tcPr>
            <w:tcW w:w="1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weighted average duration of White Mountains’s fixed maturity investments was 2.8 years and 2.5 years as of June 30, 2026 and December 31, 2025. Including short-term investments, the weighted average duration was 2.1 years and 1.5 years as of June 30, 2026 and December 31,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the cost or amortized cost, gross unrealized investment gains (losses), net foreign currency gains (losses) and carrying value of common equity securities, White Mountains’s investment in MediaAlpha and other long-term investments as of June 30, 2026 and December 31, 2025:</w:t>
      </w:r>
    </w:p>
    <w:tbl>
      <w:tblPr>
        <w:tblW w:w="10192" w:type="dxa"/>
        <w:jc w:val="center"/>
        <w:tblInd w:w="0" w:type="dxa"/>
        <w:tblLayout w:type="fixed"/>
        <w:tblCellMar>
          <w:top w:w="28" w:type="dxa"/>
          <w:left w:w="28" w:type="dxa"/>
          <w:bottom w:w="28" w:type="dxa"/>
          <w:right w:w="28" w:type="dxa"/>
        </w:tblCellMar>
      </w:tblPr>
      <w:tblGrid>
        <w:gridCol w:w="878"/>
        <w:gridCol w:w="773"/>
        <w:gridCol w:w="778"/>
        <w:gridCol w:w="109"/>
        <w:gridCol w:w="109"/>
        <w:gridCol w:w="109"/>
        <w:gridCol w:w="211"/>
        <w:gridCol w:w="781"/>
        <w:gridCol w:w="109"/>
        <w:gridCol w:w="109"/>
        <w:gridCol w:w="109"/>
        <w:gridCol w:w="109"/>
        <w:gridCol w:w="211"/>
        <w:gridCol w:w="631"/>
        <w:gridCol w:w="109"/>
        <w:gridCol w:w="109"/>
        <w:gridCol w:w="109"/>
        <w:gridCol w:w="109"/>
        <w:gridCol w:w="211"/>
        <w:gridCol w:w="691"/>
        <w:gridCol w:w="109"/>
        <w:gridCol w:w="109"/>
        <w:gridCol w:w="109"/>
        <w:gridCol w:w="109"/>
        <w:gridCol w:w="478"/>
        <w:gridCol w:w="1192"/>
        <w:gridCol w:w="249"/>
        <w:gridCol w:w="109"/>
        <w:gridCol w:w="109"/>
        <w:gridCol w:w="109"/>
        <w:gridCol w:w="211"/>
        <w:gridCol w:w="781"/>
        <w:gridCol w:w="154"/>
      </w:tblGrid>
      <w:tr>
        <w:trPr/>
        <w:tc>
          <w:tcPr>
            <w:tcW w:w="87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6"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or</w:t>
              <w:b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Foreign</w:t>
              <w:br/>
              <w:t xml:space="preserve">Currency Gains (Losses)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Value</w:t>
            </w:r>
          </w:p>
        </w:tc>
      </w:tr>
      <w:tr>
        <w:trPr/>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471.7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w:t>
            </w:r>
          </w:p>
        </w:tc>
        <w:tc>
          <w:tcPr>
            <w:tcW w:w="24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576.8</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MediaAlpha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165.3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9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224.5</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investments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2,602.9</w:t>
            </w:r>
            <w:r>
              <w:rPr>
                <w:color w:val="000000"/>
              </w:rPr>
              <w:t>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862.3</w:t>
            </w:r>
            <w:r>
              <w:rPr>
                <w:color w:val="000000"/>
              </w:rPr>
              <w:t>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(134.9)</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78"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92"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(14.1)</w:t>
            </w:r>
          </w:p>
        </w:tc>
        <w:tc>
          <w:tcPr>
            <w:tcW w:w="24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3,316.2</w:t>
            </w:r>
            <w:r>
              <w:rPr>
                <w:color w:val="000000"/>
              </w:rPr>
              <w:t> </w:t>
            </w:r>
          </w:p>
        </w:tc>
        <w:tc>
          <w:tcPr>
            <w:tcW w:w="154"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9367" w:type="dxa"/>
        <w:jc w:val="center"/>
        <w:tblInd w:w="0" w:type="dxa"/>
        <w:tblLayout w:type="fixed"/>
        <w:tblCellMar>
          <w:top w:w="28" w:type="dxa"/>
          <w:left w:w="28" w:type="dxa"/>
          <w:bottom w:w="28" w:type="dxa"/>
          <w:right w:w="28" w:type="dxa"/>
        </w:tblCellMar>
      </w:tblPr>
      <w:tblGrid>
        <w:gridCol w:w="878"/>
        <w:gridCol w:w="773"/>
        <w:gridCol w:w="778"/>
        <w:gridCol w:w="109"/>
        <w:gridCol w:w="109"/>
        <w:gridCol w:w="109"/>
        <w:gridCol w:w="211"/>
        <w:gridCol w:w="766"/>
        <w:gridCol w:w="109"/>
        <w:gridCol w:w="109"/>
        <w:gridCol w:w="109"/>
        <w:gridCol w:w="109"/>
        <w:gridCol w:w="211"/>
        <w:gridCol w:w="616"/>
        <w:gridCol w:w="109"/>
        <w:gridCol w:w="109"/>
        <w:gridCol w:w="109"/>
        <w:gridCol w:w="109"/>
        <w:gridCol w:w="211"/>
        <w:gridCol w:w="691"/>
        <w:gridCol w:w="109"/>
        <w:gridCol w:w="109"/>
        <w:gridCol w:w="109"/>
        <w:gridCol w:w="109"/>
        <w:gridCol w:w="323"/>
        <w:gridCol w:w="647"/>
        <w:gridCol w:w="169"/>
        <w:gridCol w:w="109"/>
        <w:gridCol w:w="109"/>
        <w:gridCol w:w="109"/>
        <w:gridCol w:w="211"/>
        <w:gridCol w:w="766"/>
        <w:gridCol w:w="154"/>
      </w:tblGrid>
      <w:tr>
        <w:trPr/>
        <w:tc>
          <w:tcPr>
            <w:tcW w:w="87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1" w:type="dxa"/>
            <w:gridSpan w:val="27"/>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or</w:t>
              <w:b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Foreign</w:t>
              <w:br/>
              <w:t>Currency</w:t>
              <w:br/>
              <w:t>Gains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Value</w:t>
            </w:r>
          </w:p>
        </w:tc>
      </w:tr>
      <w:tr>
        <w:trPr/>
        <w:tc>
          <w:tcPr>
            <w:tcW w:w="2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MediaAlpha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investments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2,378.8 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712.6 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(123.1)</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3"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6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2,958.5 </w:t>
            </w:r>
          </w:p>
        </w:tc>
        <w:tc>
          <w:tcPr>
            <w:tcW w:w="154"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60" w:after="283"/>
        <w:jc w:val="left"/>
        <w:rPr>
          <w:rFonts w:ascii="Times New Roman;serif" w:hAnsi="Times New Roman;serif"/>
          <w:b/>
          <w:color w:val="000000"/>
          <w:sz w:val="20"/>
        </w:rPr>
      </w:pPr>
      <w:r>
        <w:rPr>
          <w:rFonts w:ascii="Times New Roman;serif" w:hAnsi="Times New Roman;serif"/>
          <w:b/>
          <w:color w:val="000000"/>
          <w:sz w:val="20"/>
        </w:rPr>
        <w:t xml:space="preserve">Fair Value Measurements </w:t>
      </w:r>
    </w:p>
    <w:p>
      <w:pPr>
        <w:pStyle w:val="TextBody"/>
        <w:bidi w:val="0"/>
        <w:spacing w:before="0" w:after="0"/>
        <w:jc w:val="left"/>
        <w:rPr/>
      </w:pPr>
      <w:r>
        <w:rPr/>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Fair value measurements are categorized into a hierarchy that distinguishes between inputs based on market data from independent sources (observable inputs) and a reporting entity’s internal assumptions based upon the best information available when external market data is limited or unavailable (unobservable inputs). Quoted prices in active markets for identical assets or liabilities have the highest priority (Level 1), followed by observable inputs other than quoted prices, including prices for similar but not identical assets or liabilities (Level 2) and unobservable inputs, including the reporting entity’s estimates of the assumptions that market participants would use, having the lowest priority (Level 3). </w:t>
      </w:r>
    </w:p>
    <w:p>
      <w:pPr>
        <w:pStyle w:val="TextBody"/>
        <w:bidi w:val="0"/>
        <w:spacing w:before="60" w:after="283"/>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Fair Value Measurements By Level</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White Mountains classifies its portfolio of investment securities by major security type based on the legal form of the securities. White Mountains disaggregates its fixed maturity investments based on the issuing entity type, which impacts credit quality, with debt securities issued by U.S. government entities carrying minimal credit risk, while the credit and other risks associated with other issuers, such as corporations, foreign governments and agencies, entities issuing mortgage and asset-backed securities or entities issuing collateralized loan obligations vary depending on the nature of the issuing entity type. White Mountains further disaggregates debt securities issued by corporations by industry sector because investors often reference commonly used benchmarks and their subsectors to monitor risk and performance. Accordingly, White Mountains further disaggregates this asset class into subclasses based on the similar sectors and industry classifications it uses to evaluate investment risk and performance against commonly used benchmarks, such as the Bloomberg Intermediate U.S. Aggregate Index.</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White Mountains’s fair value measurements for investments by security type and level as of June 30, 2026 and December 31, 2025:</w:t>
      </w:r>
    </w:p>
    <w:tbl>
      <w:tblPr>
        <w:tblW w:w="9881" w:type="dxa"/>
        <w:jc w:val="center"/>
        <w:tblInd w:w="0" w:type="dxa"/>
        <w:tblLayout w:type="fixed"/>
        <w:tblCellMar>
          <w:top w:w="28" w:type="dxa"/>
          <w:left w:w="28" w:type="dxa"/>
          <w:bottom w:w="28" w:type="dxa"/>
          <w:right w:w="28" w:type="dxa"/>
        </w:tblCellMar>
      </w:tblPr>
      <w:tblGrid>
        <w:gridCol w:w="1490"/>
        <w:gridCol w:w="1309"/>
        <w:gridCol w:w="1325"/>
        <w:gridCol w:w="109"/>
        <w:gridCol w:w="109"/>
        <w:gridCol w:w="109"/>
        <w:gridCol w:w="211"/>
        <w:gridCol w:w="781"/>
        <w:gridCol w:w="109"/>
        <w:gridCol w:w="109"/>
        <w:gridCol w:w="109"/>
        <w:gridCol w:w="109"/>
        <w:gridCol w:w="211"/>
        <w:gridCol w:w="781"/>
        <w:gridCol w:w="109"/>
        <w:gridCol w:w="109"/>
        <w:gridCol w:w="109"/>
        <w:gridCol w:w="109"/>
        <w:gridCol w:w="211"/>
        <w:gridCol w:w="781"/>
        <w:gridCol w:w="109"/>
        <w:gridCol w:w="109"/>
        <w:gridCol w:w="109"/>
        <w:gridCol w:w="109"/>
        <w:gridCol w:w="211"/>
        <w:gridCol w:w="781"/>
        <w:gridCol w:w="154"/>
      </w:tblGrid>
      <w:tr>
        <w:trPr/>
        <w:tc>
          <w:tcPr>
            <w:tcW w:w="1490"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4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agency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442.7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442.7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 issued by corporations: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680.0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680.0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330.2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330.2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158.4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158.4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Healthcare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Materials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Communications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Energy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securities issued by corporations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1,804.7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1,804.7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and asset-backed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410.3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410.3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loan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337.7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337.7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government and agency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maturity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3,039.9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442.7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2,597.2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978.6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978.6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Exchange-traded 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169.1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169.1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407.7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407.7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common 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576.8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169.1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407.7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MediaAlpha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224.5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224.5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long-term investments </w:t>
            </w:r>
            <w:r>
              <w:rPr>
                <w:rFonts w:ascii="Times New Roman;serif" w:hAnsi="Times New Roman;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2,071.7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2,039.4</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long-term investments </w:t>
            </w:r>
            <w:r>
              <w:rPr>
                <w:color w:val="000000"/>
              </w:rPr>
              <w:t xml:space="preserve">— </w:t>
            </w:r>
            <w:r>
              <w:rPr>
                <w:rFonts w:ascii="Times New Roman;serif" w:hAnsi="Times New Roman;serif"/>
                <w:b w:val="false"/>
                <w:color w:val="000000"/>
                <w:sz w:val="20"/>
              </w:rPr>
              <w:t xml:space="preserve">net asset value </w:t>
            </w:r>
            <w:r>
              <w:rPr>
                <w:rFonts w:ascii="Times New Roman;serif" w:hAnsi="Times New Roman;serif"/>
                <w:b w:val="false"/>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1,244.5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long-term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3,316.2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2,039.4</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investments </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8,136.0</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1,814.9</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3,037.2</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2,039.4</w:t>
            </w:r>
            <w:r>
              <w:rPr>
                <w:color w:val="000000"/>
              </w:rPr>
              <w:t>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18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Consists of investments in listed funds that predominantly invest in international equities.</w:t>
      </w:r>
    </w:p>
    <w:p>
      <w:pPr>
        <w:pStyle w:val="TextBody"/>
        <w:bidi w:val="0"/>
        <w:spacing w:lineRule="auto" w:line="288" w:before="60" w:after="283"/>
        <w:ind w:left="0" w:right="0" w:hanging="18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Consists of investments in Kudu’s Participation Contracts, the Bamboo SPV, PassportCard/DavidShield, Bishop Street, certain other unconsolidated entities, as well as private debt and other instruments.</w:t>
      </w:r>
    </w:p>
    <w:p>
      <w:pPr>
        <w:pStyle w:val="TextBody"/>
        <w:bidi w:val="0"/>
        <w:spacing w:lineRule="auto" w:line="288" w:before="0" w:after="0"/>
        <w:ind w:left="0" w:right="0" w:hanging="180"/>
        <w:jc w:val="left"/>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Consists of investments in the BroadStreet SPV, private equity funds and hedge funds, a bank loan fund, Lloyd’s trust deposits and insurance-linked securities (“ILS”) funds for which fair value is measured using NAV as a practical expedient. Investments for which fair value is measured at NAV are not classified within the fair value hierarchy.</w:t>
      </w:r>
    </w:p>
    <w:p>
      <w:pPr>
        <w:pStyle w:val="TextBody"/>
        <w:bidi w:val="0"/>
        <w:spacing w:before="0" w:after="0"/>
        <w:ind w:left="0" w:right="0" w:hanging="180"/>
        <w:jc w:val="left"/>
        <w:rPr/>
      </w:pPr>
      <w:r>
        <w:rPr/>
      </w:r>
    </w:p>
    <w:p>
      <w:pPr>
        <w:pStyle w:val="TextBody"/>
        <w:bidi w:val="0"/>
        <w:spacing w:before="100" w:after="283"/>
        <w:ind w:left="0" w:right="0" w:hanging="450"/>
        <w:jc w:val="left"/>
        <w:rPr/>
      </w:pPr>
      <w:r>
        <w:rPr/>
      </w:r>
    </w:p>
    <w:p>
      <w:pPr>
        <w:pStyle w:val="TextBody"/>
        <w:bidi w:val="0"/>
        <w:spacing w:before="0" w:after="0"/>
        <w:ind w:left="0" w:right="0" w:hanging="9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9417" w:type="dxa"/>
        <w:jc w:val="center"/>
        <w:tblInd w:w="0" w:type="dxa"/>
        <w:tblLayout w:type="fixed"/>
        <w:tblCellMar>
          <w:top w:w="28" w:type="dxa"/>
          <w:left w:w="28" w:type="dxa"/>
          <w:bottom w:w="28" w:type="dxa"/>
          <w:right w:w="28" w:type="dxa"/>
        </w:tblCellMar>
      </w:tblPr>
      <w:tblGrid>
        <w:gridCol w:w="1344"/>
        <w:gridCol w:w="1181"/>
        <w:gridCol w:w="1195"/>
        <w:gridCol w:w="109"/>
        <w:gridCol w:w="109"/>
        <w:gridCol w:w="109"/>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11"/>
        <w:gridCol w:w="766"/>
        <w:gridCol w:w="154"/>
      </w:tblGrid>
      <w:tr>
        <w:trPr/>
        <w:tc>
          <w:tcPr>
            <w:tcW w:w="1344"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37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and agency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securities issued by corporations: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Consumer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Healthcare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Utilities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Materials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Communications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Energy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securities issued by corporations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Mortgage and asset-backed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Collateralized loan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government and agency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maturity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2,770.5 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2,310.2 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Exchange-traded 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common 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MediaAlpha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long-term investments </w:t>
            </w:r>
            <w:r>
              <w:rPr>
                <w:rFonts w:ascii="Times New Roman;serif" w:hAnsi="Times New Roman;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long-term investments </w:t>
            </w:r>
            <w:r>
              <w:rPr>
                <w:color w:val="000000"/>
              </w:rPr>
              <w:t xml:space="preserve">— </w:t>
            </w:r>
            <w:r>
              <w:rPr>
                <w:rFonts w:ascii="Times New Roman;serif" w:hAnsi="Times New Roman;serif"/>
                <w:b w:val="false"/>
                <w:color w:val="000000"/>
                <w:sz w:val="20"/>
              </w:rPr>
              <w:t xml:space="preserve">NAV </w:t>
            </w:r>
            <w:r>
              <w:rPr>
                <w:rFonts w:ascii="Times New Roman;serif" w:hAnsi="Times New Roman;serif"/>
                <w:b w:val="false"/>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long-term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2,958.5 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8,324.9 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2,593.9 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2,806.2 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1,814.4 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60" w:after="283"/>
        <w:ind w:left="0" w:right="0" w:hanging="18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Consists of investments in listed funds that predominantly invest in international equities.</w:t>
      </w:r>
    </w:p>
    <w:p>
      <w:pPr>
        <w:pStyle w:val="TextBody"/>
        <w:bidi w:val="0"/>
        <w:spacing w:lineRule="auto" w:line="276" w:before="60" w:after="283"/>
        <w:ind w:left="0" w:right="0" w:hanging="18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Consists of investments in Kudu’s Participation Contracts, the Bamboo SPV, PassportCard/DavidShield, certain other unconsolidated entities, as well as private debt and other instruments.</w:t>
      </w:r>
    </w:p>
    <w:p>
      <w:pPr>
        <w:pStyle w:val="TextBody"/>
        <w:bidi w:val="0"/>
        <w:spacing w:lineRule="auto" w:line="288" w:before="0" w:after="0"/>
        <w:ind w:left="0" w:right="0" w:hanging="180"/>
        <w:jc w:val="left"/>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Consists of investments in the BroadStreet SPV, private equity funds and hedge funds, a bank loan fund, Lloyd’s trust deposits and ILS funds for which fair value is measured using NAV as a practical expedient. Investments for which fair value is measured at NAV are not classified within the fair value hierarchy.</w:t>
      </w:r>
    </w:p>
    <w:p>
      <w:pPr>
        <w:pStyle w:val="TextBody"/>
        <w:bidi w:val="0"/>
        <w:spacing w:before="0" w:after="0"/>
        <w:ind w:left="0" w:right="0" w:hanging="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Investments Held on Deposit or as Collateral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Lloyd’s trust deposits are generally required of Lloyd's syndicates to protect policyholders in non-U.K. markets and are pledged into Lloyd’s trust accounts to provide a portion of the capital needed to support obligations at Lloyd’s. As of June 30, 2026 and December 31, 2025, Ark held Lloyd’s trust deposits with a fair value of $196.0 million and $180.4 million.</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underwriting capacity of a member of Lloyd’s must be supported by providing a deposit (“Funds at Lloyd’s”) in the form of cash, securities or letters of credit in an amount determined by Lloyd’s. The amount of such deposit is calculated for each member through an annual capital adequacy determination by Lloyd’s. As of June 30, 2026 and December 31, 2025, the fair value of Ark’s Funds at Lloyd’s cash and investment deposits totaled $517.9 million and $361.6 million.</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Ark held additional investments on deposit or as collateral for insurance regulators and reinsurance counterparties of $326.0 million and $257.2 million.</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investments of $122.6 million and $245.7 million were held in a collateral trust account required to be maintained in relation to WM Outrigger Re’s reinsurance agreement with GAIL.</w:t>
      </w:r>
    </w:p>
    <w:p>
      <w:pPr>
        <w:pStyle w:val="TextBody"/>
        <w:bidi w:val="0"/>
        <w:spacing w:lineRule="auto" w:line="268" w:before="0" w:after="0"/>
        <w:jc w:val="left"/>
        <w:rPr/>
      </w:pPr>
      <w:r>
        <w:rPr>
          <w:rFonts w:ascii="Times New Roman;serif" w:hAnsi="Times New Roman;serif"/>
          <w:b w:val="false"/>
          <w:color w:val="000000"/>
          <w:sz w:val="20"/>
        </w:rPr>
        <w:t xml:space="preserve">Ark is required to pledge collateral under its standby letters of credit. See </w:t>
      </w:r>
      <w:r>
        <w:rPr>
          <w:rFonts w:ascii="Times New Roman;serif" w:hAnsi="Times New Roman;serif"/>
          <w:b/>
          <w:color w:val="000000"/>
          <w:sz w:val="20"/>
        </w:rPr>
        <w:t>Note 7 — “Debt.”</w:t>
      </w:r>
    </w:p>
    <w:p>
      <w:pPr>
        <w:pStyle w:val="TextBody"/>
        <w:bidi w:val="0"/>
        <w:spacing w:lineRule="auto" w:line="268" w:before="0" w:after="0"/>
        <w:jc w:val="left"/>
        <w:rPr/>
      </w:pPr>
      <w:r>
        <w:rPr>
          <w:rFonts w:ascii="Times New Roman;serif" w:hAnsi="Times New Roman;serif"/>
          <w:b w:val="false"/>
          <w:color w:val="000000"/>
          <w:sz w:val="20"/>
        </w:rPr>
        <w:t xml:space="preserve">Kudu is required to maintain an interest reserve account in connection with its credit facility. See </w:t>
      </w:r>
      <w:r>
        <w:rPr>
          <w:rFonts w:ascii="Times New Roman;serif" w:hAnsi="Times New Roman;serif"/>
          <w:b/>
          <w:color w:val="000000"/>
          <w:sz w:val="20"/>
        </w:rPr>
        <w:t>Note 7 — “Debt.”</w:t>
      </w:r>
    </w:p>
    <w:p>
      <w:pPr>
        <w:pStyle w:val="TextBody"/>
        <w:bidi w:val="0"/>
        <w:spacing w:lineRule="auto" w:line="268" w:before="0" w:after="0"/>
        <w:jc w:val="left"/>
        <w:rPr/>
      </w:pPr>
      <w:r>
        <w:rPr>
          <w:rFonts w:ascii="Times New Roman;serif" w:hAnsi="Times New Roman;serif"/>
          <w:b w:val="false"/>
          <w:color w:val="000000"/>
          <w:sz w:val="20"/>
        </w:rPr>
        <w:t xml:space="preserve">HG Re is required to maintain assets, including investments, in collateral trusts under the first-loss reinsurance treaty (“FLRT”) with BAM. See </w:t>
      </w:r>
      <w:r>
        <w:rPr>
          <w:rFonts w:ascii="Times New Roman;serif" w:hAnsi="Times New Roman;serif"/>
          <w:b/>
          <w:color w:val="000000"/>
          <w:sz w:val="20"/>
        </w:rPr>
        <w:t>Note 10 — “Municipal Bond Guarantee Reinsurance.”</w:t>
      </w:r>
    </w:p>
    <w:p>
      <w:pPr>
        <w:pStyle w:val="TextBody"/>
        <w:bidi w:val="0"/>
        <w:spacing w:lineRule="auto" w:line="268" w:before="0" w:after="0"/>
        <w:jc w:val="left"/>
        <w:rPr/>
      </w:pPr>
      <w:r>
        <w:rPr>
          <w:rFonts w:ascii="Times New Roman;serif" w:hAnsi="Times New Roman;serif"/>
          <w:b w:val="false"/>
          <w:color w:val="000000"/>
          <w:sz w:val="20"/>
        </w:rPr>
        <w:t xml:space="preserve">HG Global is required to maintain an interest reserve account in connection with its senior notes. See </w:t>
      </w:r>
      <w:r>
        <w:rPr>
          <w:rFonts w:ascii="Times New Roman;serif" w:hAnsi="Times New Roman;serif"/>
          <w:b/>
          <w:color w:val="000000"/>
          <w:sz w:val="20"/>
        </w:rPr>
        <w:t>Note 7 — “Debt.”</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investments of $67.9 million and $56.8 million were held on deposit, primarily related to amounts held on behalf of Distinguished’s insurance carrier partners and certain insureds. </w:t>
      </w:r>
    </w:p>
    <w:p>
      <w:pPr>
        <w:pStyle w:val="TextBody"/>
        <w:bidi w:val="0"/>
        <w:spacing w:before="0" w:after="0"/>
        <w:ind w:left="0" w:right="0" w:hanging="180"/>
        <w:jc w:val="both"/>
        <w:rPr/>
      </w:pPr>
      <w:r>
        <w:rPr/>
      </w:r>
    </w:p>
    <w:p>
      <w:pPr>
        <w:pStyle w:val="TextBody"/>
        <w:bidi w:val="0"/>
        <w:spacing w:lineRule="auto" w:line="268" w:before="0" w:after="0"/>
        <w:ind w:left="0" w:right="0" w:hanging="180"/>
        <w:jc w:val="both"/>
        <w:rPr>
          <w:rFonts w:ascii="Times New Roman;serif" w:hAnsi="Times New Roman;serif"/>
          <w:b/>
          <w:color w:val="000000"/>
          <w:sz w:val="20"/>
        </w:rPr>
      </w:pPr>
      <w:r>
        <w:rPr>
          <w:rFonts w:ascii="Times New Roman;serif" w:hAnsi="Times New Roman;serif"/>
          <w:b/>
          <w:color w:val="000000"/>
          <w:sz w:val="20"/>
        </w:rPr>
        <w:t>Debt Securities Issued by Corporations</w:t>
      </w:r>
    </w:p>
    <w:p>
      <w:pPr>
        <w:pStyle w:val="TextBody"/>
        <w:bidi w:val="0"/>
        <w:spacing w:before="0" w:after="0"/>
        <w:ind w:left="0" w:right="0" w:hanging="18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fair values for credit ratings of debt securities issued by corporations held in White Mountains’s investment portfolio as of June 30, 2026 and December 31, 2025:</w:t>
      </w:r>
    </w:p>
    <w:tbl>
      <w:tblPr>
        <w:tblW w:w="6683" w:type="dxa"/>
        <w:jc w:val="center"/>
        <w:tblInd w:w="0" w:type="dxa"/>
        <w:tblLayout w:type="fixed"/>
        <w:tblCellMar>
          <w:top w:w="28" w:type="dxa"/>
          <w:left w:w="28" w:type="dxa"/>
          <w:bottom w:w="28" w:type="dxa"/>
          <w:right w:w="28" w:type="dxa"/>
        </w:tblCellMar>
      </w:tblPr>
      <w:tblGrid>
        <w:gridCol w:w="1213"/>
        <w:gridCol w:w="1069"/>
        <w:gridCol w:w="1078"/>
        <w:gridCol w:w="109"/>
        <w:gridCol w:w="109"/>
        <w:gridCol w:w="109"/>
        <w:gridCol w:w="215"/>
        <w:gridCol w:w="798"/>
        <w:gridCol w:w="111"/>
        <w:gridCol w:w="109"/>
        <w:gridCol w:w="109"/>
        <w:gridCol w:w="109"/>
        <w:gridCol w:w="288"/>
        <w:gridCol w:w="1047"/>
        <w:gridCol w:w="210"/>
      </w:tblGrid>
      <w:tr>
        <w:trPr/>
        <w:tc>
          <w:tcPr>
            <w:tcW w:w="1213"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at</w:t>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AAA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w:t>
            </w:r>
            <w:r>
              <w:rPr>
                <w:color w:val="000000"/>
              </w:rPr>
              <w:t>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103.6</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89.9 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835.5</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711.7 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BBB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844.4</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716.9 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2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Debt securities issued by corporations </w:t>
            </w:r>
            <w:r>
              <w:rPr>
                <w:rFonts w:ascii="Times New Roman;serif" w:hAnsi="Times New Roman;serif"/>
                <w:b w:val="false"/>
                <w:color w:val="000000"/>
                <w:sz w:val="10"/>
              </w:rPr>
              <w:t>(1)</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1,804.7</w:t>
            </w:r>
            <w:r>
              <w:rPr>
                <w:color w:val="000000"/>
              </w:rPr>
              <w:t> </w:t>
            </w:r>
          </w:p>
        </w:tc>
        <w:tc>
          <w:tcPr>
            <w:tcW w:w="1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1,537.7 </w:t>
            </w:r>
          </w:p>
        </w:tc>
        <w:tc>
          <w:tcPr>
            <w:tcW w:w="2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18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Credit ratings are based upon issuer credit ratings provided by Standard &amp; Poor’s Financial Services LLC (“Standard &amp; Poor’s”), or if unrated by Standard &amp; Poor’s, long-term obligation ratings provided by Moody’s Investors Service, Inc.</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60" w:after="283"/>
        <w:jc w:val="left"/>
        <w:rPr>
          <w:rFonts w:ascii="Times New Roman;serif" w:hAnsi="Times New Roman;serif"/>
          <w:b/>
          <w:color w:val="000000"/>
          <w:sz w:val="20"/>
        </w:rPr>
      </w:pPr>
      <w:r>
        <w:rPr>
          <w:rFonts w:ascii="Times New Roman;serif" w:hAnsi="Times New Roman;serif"/>
          <w:b/>
          <w:color w:val="000000"/>
          <w:sz w:val="20"/>
        </w:rPr>
        <w:t>Mortgage and Asset-backed Securities and Collateralized Loan Obligations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fair value of White Mountains’s mortgage and asset-backed securities and collateralized loan obligations as of June 30, 2026 and December 31, 2025:</w:t>
      </w:r>
    </w:p>
    <w:tbl>
      <w:tblPr>
        <w:tblW w:w="10205" w:type="dxa"/>
        <w:jc w:val="center"/>
        <w:tblInd w:w="0" w:type="dxa"/>
        <w:tblLayout w:type="fixed"/>
        <w:tblCellMar>
          <w:top w:w="28" w:type="dxa"/>
          <w:left w:w="28" w:type="dxa"/>
          <w:bottom w:w="28" w:type="dxa"/>
          <w:right w:w="28" w:type="dxa"/>
        </w:tblCellMar>
      </w:tblPr>
      <w:tblGrid>
        <w:gridCol w:w="1074"/>
        <w:gridCol w:w="946"/>
        <w:gridCol w:w="951"/>
        <w:gridCol w:w="109"/>
        <w:gridCol w:w="109"/>
        <w:gridCol w:w="109"/>
        <w:gridCol w:w="211"/>
        <w:gridCol w:w="631"/>
        <w:gridCol w:w="109"/>
        <w:gridCol w:w="109"/>
        <w:gridCol w:w="109"/>
        <w:gridCol w:w="109"/>
        <w:gridCol w:w="211"/>
        <w:gridCol w:w="631"/>
        <w:gridCol w:w="109"/>
        <w:gridCol w:w="109"/>
        <w:gridCol w:w="109"/>
        <w:gridCol w:w="109"/>
        <w:gridCol w:w="211"/>
        <w:gridCol w:w="406"/>
        <w:gridCol w:w="109"/>
        <w:gridCol w:w="109"/>
        <w:gridCol w:w="109"/>
        <w:gridCol w:w="109"/>
        <w:gridCol w:w="211"/>
        <w:gridCol w:w="616"/>
        <w:gridCol w:w="109"/>
        <w:gridCol w:w="109"/>
        <w:gridCol w:w="109"/>
        <w:gridCol w:w="109"/>
        <w:gridCol w:w="211"/>
        <w:gridCol w:w="616"/>
        <w:gridCol w:w="109"/>
        <w:gridCol w:w="109"/>
        <w:gridCol w:w="109"/>
        <w:gridCol w:w="109"/>
        <w:gridCol w:w="211"/>
        <w:gridCol w:w="406"/>
        <w:gridCol w:w="155"/>
      </w:tblGrid>
      <w:tr>
        <w:trPr/>
        <w:tc>
          <w:tcPr>
            <w:tcW w:w="107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7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8"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2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Mortgage-backed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192.5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192.5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FHLMC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131.4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131.4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GNMA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Total agency </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343.3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343.3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2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2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29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r>
      <w:tr>
        <w:trPr/>
        <w:tc>
          <w:tcPr>
            <w:tcW w:w="29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mortgage-backed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343.3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343.3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asset-backed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Vehicle 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card 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asset-backed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mortgage and asset-backed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Collateralized loan obligations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337.7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337.7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1"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mortgage and asset-backed securities </w:t>
              <w:br/>
              <w:t>   and collateralized loan obligations</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748.0</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748.0</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740.0 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180"/>
        <w:jc w:val="left"/>
        <w:rPr/>
      </w:pPr>
      <w:r>
        <w:rPr>
          <w:rFonts w:ascii="Times New Roman;serif" w:hAnsi="Times New Roman;serif"/>
          <w:b w:val="false"/>
          <w:color w:val="000000"/>
          <w:sz w:val="10"/>
        </w:rPr>
        <w:t>(1)    </w:t>
      </w:r>
      <w:r>
        <w:rPr>
          <w:rFonts w:ascii="Times New Roman;serif" w:hAnsi="Times New Roman;serif"/>
          <w:b w:val="false"/>
          <w:color w:val="000000"/>
          <w:sz w:val="16"/>
        </w:rPr>
        <w:t>Represents publicly traded mortgage-backed securities which carry the full faith and credit guarantee of the U.S. Government (i.e., GNMA) or are guaranteed by a government sponsored entity (i.e., FNMA, FHLMC).</w:t>
      </w:r>
    </w:p>
    <w:p>
      <w:pPr>
        <w:pStyle w:val="TextBody"/>
        <w:bidi w:val="0"/>
        <w:spacing w:before="0" w:after="0"/>
        <w:ind w:left="0" w:right="0" w:firstLine="9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White Mountains’s investment portfolio included $337.7 million and $347.0 million of collateralized loan obligations that are within the senior tranches of their respective fund securitization structures. All of White Mountains’s collateralized loan obligations were rated AAA or AA as of June 30, 2026 and December 31, 2025.</w:t>
      </w:r>
    </w:p>
    <w:p>
      <w:pPr>
        <w:pStyle w:val="TextBody"/>
        <w:bidi w:val="0"/>
        <w:spacing w:before="0" w:after="0"/>
        <w:ind w:left="0" w:right="0" w:hanging="540"/>
        <w:jc w:val="left"/>
        <w:rPr/>
      </w:pPr>
      <w:r>
        <w:rPr/>
      </w:r>
    </w:p>
    <w:p>
      <w:pPr>
        <w:pStyle w:val="TextBody"/>
        <w:bidi w:val="0"/>
        <w:spacing w:lineRule="auto" w:line="288" w:before="0" w:after="0"/>
        <w:ind w:left="0" w:right="0" w:hanging="540"/>
        <w:jc w:val="left"/>
        <w:rPr>
          <w:rFonts w:ascii="Times New Roman;serif" w:hAnsi="Times New Roman;serif"/>
          <w:b/>
          <w:color w:val="000000"/>
          <w:sz w:val="20"/>
        </w:rPr>
      </w:pPr>
      <w:r>
        <w:rPr>
          <w:rFonts w:ascii="Times New Roman;serif" w:hAnsi="Times New Roman;serif"/>
          <w:b/>
          <w:color w:val="000000"/>
          <w:sz w:val="20"/>
        </w:rPr>
        <w:t xml:space="preserve">Investment in MediaAlpha </w:t>
      </w:r>
    </w:p>
    <w:p>
      <w:pPr>
        <w:pStyle w:val="TextBody"/>
        <w:bidi w:val="0"/>
        <w:spacing w:before="0" w:after="0"/>
        <w:ind w:left="0" w:right="0" w:hanging="540"/>
        <w:jc w:val="left"/>
        <w:rPr/>
      </w:pPr>
      <w:r>
        <w:rPr/>
      </w:r>
    </w:p>
    <w:p>
      <w:pPr>
        <w:pStyle w:val="TextBody"/>
        <w:bidi w:val="0"/>
        <w:spacing w:lineRule="auto" w:line="276"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White Mountains’s investment in MediaAlpha is accounted for at fair value based on the publicly traded share price of MediaAlpha’s common stock and is presented as a separate line item on the balance sheet. </w:t>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White Mountains owned 17.9 million shares of MediaAlpha, representing a 29.1% basic ownership interest based on the total class A and class B common shares outstanding. At the June 30, 2026 share price of $12.57, the fair value of White Mountains’s investment in MediaAlpha was $224.5 million. At White Mountains’s June 30, 2026 level of ownership, each $1.00 per share increase or decrease in the share price of MediaAlpha will result in an approximate $7.50 per share increase or decrease in White Mountains’s book value per share. </w:t>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December 31, 2025, White Mountains owned 17.9 million shares of MediaAlpha, representing a 27.7% basic ownership interest based on the total class A and class B common shares outstanding. At the December 31, 2025 share price of $12.95, the fair value of White Mountains’s investment in MediaAlpha was $231.2 million.</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Other Long-Term Investments</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the carrying values of White Mountains’s other long-term investments by reportable segment as of June 30, 2026 and December 31, 2025:</w:t>
      </w:r>
    </w:p>
    <w:tbl>
      <w:tblPr>
        <w:tblW w:w="9364" w:type="dxa"/>
        <w:jc w:val="left"/>
        <w:tblInd w:w="0" w:type="dxa"/>
        <w:tblLayout w:type="fixed"/>
        <w:tblCellMar>
          <w:top w:w="28" w:type="dxa"/>
          <w:left w:w="28" w:type="dxa"/>
          <w:bottom w:w="28" w:type="dxa"/>
          <w:right w:w="28" w:type="dxa"/>
        </w:tblCellMar>
      </w:tblPr>
      <w:tblGrid>
        <w:gridCol w:w="1132"/>
        <w:gridCol w:w="996"/>
        <w:gridCol w:w="1006"/>
        <w:gridCol w:w="109"/>
        <w:gridCol w:w="109"/>
        <w:gridCol w:w="109"/>
        <w:gridCol w:w="349"/>
        <w:gridCol w:w="1045"/>
        <w:gridCol w:w="180"/>
        <w:gridCol w:w="109"/>
        <w:gridCol w:w="109"/>
        <w:gridCol w:w="109"/>
        <w:gridCol w:w="211"/>
        <w:gridCol w:w="781"/>
        <w:gridCol w:w="109"/>
        <w:gridCol w:w="109"/>
        <w:gridCol w:w="109"/>
        <w:gridCol w:w="109"/>
        <w:gridCol w:w="211"/>
        <w:gridCol w:w="781"/>
        <w:gridCol w:w="109"/>
        <w:gridCol w:w="109"/>
        <w:gridCol w:w="109"/>
        <w:gridCol w:w="109"/>
        <w:gridCol w:w="211"/>
        <w:gridCol w:w="781"/>
        <w:gridCol w:w="154"/>
      </w:tblGrid>
      <w:tr>
        <w:trPr/>
        <w:tc>
          <w:tcPr>
            <w:tcW w:w="1132"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Fair Value as of June 30, 2026</w:t>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Ark/ WM Outrigger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Kudu</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Kudu’s Participation Contracts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1,344.6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1,344.6</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Bamboo SPV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280.0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280.0</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BroadStreet SPV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176.2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176.2</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PassportCard/DavidShield</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170.0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170.0</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Bishop Street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130.0</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unconsolidated entities </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121.6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121.6</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unconsolidated entities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1,344.6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877.8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2,222.4</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equity funds and hedge 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227.3</w:t>
            </w:r>
            <w:r>
              <w:rPr>
                <w:color w:val="000000"/>
              </w:rPr>
              <w:t>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252.2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479.5</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 loan fund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313.4</w:t>
            </w:r>
            <w:r>
              <w:rPr>
                <w:color w:val="000000"/>
              </w:rPr>
              <w:t>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313.4</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Lloyd’s trust deposits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196.0</w:t>
            </w:r>
            <w:r>
              <w:rPr>
                <w:color w:val="000000"/>
              </w:rPr>
              <w:t>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196.0</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ILS 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52.2</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debt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20.4</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32.3</w:t>
            </w:r>
            <w:r>
              <w:rPr>
                <w:color w:val="000000"/>
              </w:rPr>
              <w:t> </w:t>
            </w:r>
          </w:p>
        </w:tc>
        <w:tc>
          <w:tcPr>
            <w:tcW w:w="1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32.3</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long-term investments</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769.0</w:t>
            </w:r>
            <w:r>
              <w:rPr>
                <w:color w:val="000000"/>
              </w:rPr>
              <w:t> </w:t>
            </w:r>
          </w:p>
        </w:tc>
        <w:tc>
          <w:tcPr>
            <w:tcW w:w="1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1,344.6</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1,202.6</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3,316.2</w:t>
            </w:r>
            <w:r>
              <w:rPr>
                <w:color w:val="000000"/>
              </w:rPr>
              <w:t>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18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Includes White Mountains’s noncontrolling equity interests in certain preferred securities, common shares, limited partnership units and limited liability company units.</w:t>
      </w:r>
    </w:p>
    <w:tbl>
      <w:tblPr>
        <w:tblW w:w="9170" w:type="dxa"/>
        <w:jc w:val="left"/>
        <w:tblInd w:w="0" w:type="dxa"/>
        <w:tblLayout w:type="fixed"/>
        <w:tblCellMar>
          <w:top w:w="28" w:type="dxa"/>
          <w:left w:w="28" w:type="dxa"/>
          <w:bottom w:w="28" w:type="dxa"/>
          <w:right w:w="28" w:type="dxa"/>
        </w:tblCellMar>
      </w:tblPr>
      <w:tblGrid>
        <w:gridCol w:w="1132"/>
        <w:gridCol w:w="996"/>
        <w:gridCol w:w="1006"/>
        <w:gridCol w:w="109"/>
        <w:gridCol w:w="109"/>
        <w:gridCol w:w="109"/>
        <w:gridCol w:w="355"/>
        <w:gridCol w:w="1037"/>
        <w:gridCol w:w="183"/>
        <w:gridCol w:w="109"/>
        <w:gridCol w:w="109"/>
        <w:gridCol w:w="109"/>
        <w:gridCol w:w="211"/>
        <w:gridCol w:w="766"/>
        <w:gridCol w:w="109"/>
        <w:gridCol w:w="109"/>
        <w:gridCol w:w="109"/>
        <w:gridCol w:w="109"/>
        <w:gridCol w:w="211"/>
        <w:gridCol w:w="616"/>
        <w:gridCol w:w="109"/>
        <w:gridCol w:w="109"/>
        <w:gridCol w:w="109"/>
        <w:gridCol w:w="109"/>
        <w:gridCol w:w="211"/>
        <w:gridCol w:w="766"/>
        <w:gridCol w:w="154"/>
      </w:tblGrid>
      <w:tr>
        <w:trPr/>
        <w:tc>
          <w:tcPr>
            <w:tcW w:w="1132"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as of December 31, 2025</w:t>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Ark/ WM Outrigger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Kudu</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Kudu’s Participation Contracts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Bamboo SPV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BroadStreet SPV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PassportCard/DavidShield</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unconsolidated entities </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unconsolidated entities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equity funds and hedge 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167.1 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 loan fund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308.5 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Lloyd’s trust deposits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ILS 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debt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long-term investments</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689.7 </w:t>
            </w:r>
          </w:p>
        </w:tc>
        <w:tc>
          <w:tcPr>
            <w:tcW w:w="1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2,958.5 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18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Includes White Mountains’s noncontrolling equity interests in certain preferred securities, common shares, limited partnership units and limited liability company units.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Private Equity Funds and Hedge Funds </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White Mountains invests in private equity funds and hedge funds, which are included in other long-term investments. The fair value of these investments is generally estimated using the NAV of the funds. As of June 30, 2026, White Mountains held investments in or commitments to eighteen private equity funds and two hedge funds. The largest investment in a single private equity fund or hedge fund was $170.0 million and $110.6 million as of June 30, 2026 and December 31,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fair value of investments and unfunded commitments in private equity funds and hedge funds by investment objective and sector as of June 30, 2026 and December 31, 2025:</w:t>
      </w:r>
    </w:p>
    <w:tbl>
      <w:tblPr>
        <w:tblW w:w="9662" w:type="dxa"/>
        <w:jc w:val="center"/>
        <w:tblInd w:w="0" w:type="dxa"/>
        <w:tblLayout w:type="fixed"/>
        <w:tblCellMar>
          <w:top w:w="28" w:type="dxa"/>
          <w:left w:w="28" w:type="dxa"/>
          <w:bottom w:w="28" w:type="dxa"/>
          <w:right w:w="28" w:type="dxa"/>
        </w:tblCellMar>
      </w:tblPr>
      <w:tblGrid>
        <w:gridCol w:w="1517"/>
        <w:gridCol w:w="1335"/>
        <w:gridCol w:w="1348"/>
        <w:gridCol w:w="109"/>
        <w:gridCol w:w="109"/>
        <w:gridCol w:w="109"/>
        <w:gridCol w:w="211"/>
        <w:gridCol w:w="631"/>
        <w:gridCol w:w="109"/>
        <w:gridCol w:w="109"/>
        <w:gridCol w:w="109"/>
        <w:gridCol w:w="109"/>
        <w:gridCol w:w="277"/>
        <w:gridCol w:w="690"/>
        <w:gridCol w:w="144"/>
        <w:gridCol w:w="109"/>
        <w:gridCol w:w="109"/>
        <w:gridCol w:w="109"/>
        <w:gridCol w:w="211"/>
        <w:gridCol w:w="616"/>
        <w:gridCol w:w="109"/>
        <w:gridCol w:w="109"/>
        <w:gridCol w:w="109"/>
        <w:gridCol w:w="109"/>
        <w:gridCol w:w="278"/>
        <w:gridCol w:w="674"/>
        <w:gridCol w:w="204"/>
      </w:tblGrid>
      <w:tr>
        <w:trPr/>
        <w:tc>
          <w:tcPr>
            <w:tcW w:w="151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Unfunded</w:t>
              <w:br/>
              <w:t>Commitments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Unfunded</w:t>
              <w:br/>
              <w:t>Commitments</w:t>
            </w:r>
          </w:p>
        </w:tc>
      </w:tr>
      <w:tr>
        <w:trPr/>
        <w:tc>
          <w:tcPr>
            <w:tcW w:w="4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Private equity 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Aerospace/Defense/Government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139.9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38.0</w:t>
            </w: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50.8</w:t>
            </w: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w:t>
            </w: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04" w:type="dxa"/>
            <w:tcBorders/>
            <w:tcMar>
              <w:top w:w="0" w:type="dxa"/>
              <w:left w:w="0" w:type="dxa"/>
              <w:bottom w:w="0" w:type="dxa"/>
              <w:right w:w="0" w:type="dxa"/>
            </w:tcMar>
            <w:vAlign w:val="center"/>
          </w:tcPr>
          <w:p>
            <w:pPr>
              <w:pStyle w:val="TableContents"/>
              <w:bidi w:val="0"/>
              <w:spacing w:before="0" w:after="283"/>
              <w:ind w:left="0" w:right="0" w:hanging="630"/>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private equity 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248.2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91.0</w:t>
            </w:r>
            <w:r>
              <w:rPr>
                <w:color w:val="000000"/>
              </w:rPr>
              <w:t>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20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Hedge 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Long/short all cap global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170.0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Long/short equity financials and business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ind w:left="0" w:right="0" w:hanging="630"/>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hedge funds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231.3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630"/>
              <w:jc w:val="left"/>
              <w:rPr>
                <w:sz w:val="4"/>
                <w:szCs w:val="4"/>
              </w:rPr>
            </w:pPr>
            <w:r>
              <w:rPr>
                <w:sz w:val="4"/>
                <w:szCs w:val="4"/>
              </w:rPr>
            </w:r>
          </w:p>
        </w:tc>
      </w:tr>
      <w:tr>
        <w:trPr/>
        <w:tc>
          <w:tcPr>
            <w:tcW w:w="4200"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private equity funds and hedge funds</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479.5</w:t>
            </w:r>
            <w:r>
              <w:rPr>
                <w:color w:val="000000"/>
              </w:rPr>
              <w:t>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7"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90"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91.0</w:t>
            </w:r>
            <w:r>
              <w:rPr>
                <w:color w:val="000000"/>
              </w:rPr>
              <w:t> </w:t>
            </w:r>
          </w:p>
        </w:tc>
        <w:tc>
          <w:tcPr>
            <w:tcW w:w="144"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395.2 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8"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4"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204"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Investments in private equity funds are generally subject to a lock-up period during which investors may not request a redemption. Distributions prior to the expected termination date of the fund may be limited to dividends or proceeds arising from the liquidation of the fund’s underlying investments. In addition, certain private equity funds have the option to extend the lock-up period. </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fair value of investments in private equity funds that were subject to lock-up periods as of June 30, 2026:</w:t>
      </w:r>
    </w:p>
    <w:tbl>
      <w:tblPr>
        <w:tblW w:w="10205" w:type="dxa"/>
        <w:jc w:val="center"/>
        <w:tblInd w:w="0" w:type="dxa"/>
        <w:tblLayout w:type="fixed"/>
        <w:tblCellMar>
          <w:top w:w="28" w:type="dxa"/>
          <w:left w:w="28" w:type="dxa"/>
          <w:bottom w:w="28" w:type="dxa"/>
          <w:right w:w="28" w:type="dxa"/>
        </w:tblCellMar>
      </w:tblPr>
      <w:tblGrid>
        <w:gridCol w:w="1542"/>
        <w:gridCol w:w="1355"/>
        <w:gridCol w:w="1370"/>
        <w:gridCol w:w="109"/>
        <w:gridCol w:w="109"/>
        <w:gridCol w:w="109"/>
        <w:gridCol w:w="291"/>
        <w:gridCol w:w="291"/>
        <w:gridCol w:w="293"/>
        <w:gridCol w:w="109"/>
        <w:gridCol w:w="109"/>
        <w:gridCol w:w="109"/>
        <w:gridCol w:w="300"/>
        <w:gridCol w:w="300"/>
        <w:gridCol w:w="301"/>
        <w:gridCol w:w="109"/>
        <w:gridCol w:w="109"/>
        <w:gridCol w:w="109"/>
        <w:gridCol w:w="330"/>
        <w:gridCol w:w="330"/>
        <w:gridCol w:w="331"/>
        <w:gridCol w:w="109"/>
        <w:gridCol w:w="109"/>
        <w:gridCol w:w="109"/>
        <w:gridCol w:w="270"/>
        <w:gridCol w:w="270"/>
        <w:gridCol w:w="271"/>
        <w:gridCol w:w="109"/>
        <w:gridCol w:w="109"/>
        <w:gridCol w:w="109"/>
        <w:gridCol w:w="210"/>
        <w:gridCol w:w="210"/>
        <w:gridCol w:w="305"/>
      </w:tblGrid>
      <w:tr>
        <w:trPr/>
        <w:tc>
          <w:tcPr>
            <w:tcW w:w="154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42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 – 3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 – 5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5 – 10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&gt;10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2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Private equity funds — expected lock-up period remaining</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$52.3</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$7.1</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$188.8</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$248.2</w:t>
            </w:r>
          </w:p>
        </w:tc>
      </w:tr>
    </w:tbl>
    <w:p>
      <w:pPr>
        <w:pStyle w:val="TextBody"/>
        <w:bidi w:val="0"/>
        <w:spacing w:before="0" w:after="0"/>
        <w:jc w:val="both"/>
        <w:rPr/>
      </w:pPr>
      <w:r>
        <w:rPr/>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Investors in private equity funds are generally subject to indemnification obligations outside of the capital commitment period and prior to the winding up of the fund. As of June 30, 2026 and December 31, 2025, White Mountains is not aware of any indemnification claims relating to its investments in private equity funds.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Redemption of investments in most hedge funds is subject to restrictions, including lock-up periods where no redemptions or withdrawals are allowed, restrictions on redemption frequency and advance notice periods for redemptions. Amounts requested for redemptions remain subject to market fluctuations until the redemption effective date, which generally falls at the end of the defined redemption period. White Mountains’s hedge fund investments are subject to monthly and quarterly restrictions on redemptions and advance written redemption notice period requirements that range between 45 and 90 calendar days.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Bank Loan Fund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White Mountains’s other long-term investments include a bank loan fund with a fair value of $313.4 million and $308.5 million as of June 30, 2026 and December 31, 2025. The fair value of this investment is estimated using the NAV of the fund. The bank loan fund’s investment objective is to provide, on an unleveraged basis, high current income consistent with preservation of capital and low duration. The bank loan fund primarily invests in a broad portfolio of U.S. dollar-denominated, non-investment grade, floating-rate senior secured loans and may invest in other financial instruments, such as secured and unsecured corporate debt, credit default swaps, reverse repurchase agreements, synthetic indices and cash and cash equivalents.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investment in the bank loan fund is subject to restrictions on redemption frequency and advance notice periods for redemptions. Amounts requested for redemptions remain subject to market fluctuations until the redemption effective date, which generally falls at the end of the defined redemption period. White Mountains may redeem all or a portion of its bank loan fund investment as of any calendar month-end upon 15 calendar days advanced written notice.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Lloyd’s Trust Deposits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White Mountains’s other long-term investments include Lloyd’s trust deposits, which consist of non-U.K. deposits and Canadian commingled pooled funds. The Lloyd’s trust deposits invest primarily in short-term government securities, agency securities and corporate bonds held in trusts that are managed by Lloyd's of London. These investments are generally required of Lloyd's syndicates to protect policyholders in non-U.K. markets and are pledged into Lloyd’s trust accounts to provide a portion of the capital needed to support obligations at Lloyd’s. The fair value of the Lloyd’s trust deposits is generally estimated using the NAV of the funds. As of June 30, 2026 and December 31, 2025, White Mountains held Lloyd’s trust deposits with a fair value of $196.0 million and $180.4 million.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ILS Funds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White Mountains’s other long-term investments include ILS fund investments. The fair value of these investments is generally estimated using the NAV of the funds. As of June 30, 2026 and December 31, 2025, White Mountains held investments in ILS funds with a fair value of $52.2 million and $50.1 million. </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Investments in ILS funds are generally subject to restrictions, including lock-up periods where no redemptions or withdrawals are allowed, non-renewal clauses, restrictions on redemption frequency and advance notice periods for redemptions. From time to time, natural catastrophe, liquidity, market or other events will occur that make the determination of fair value for underlying investments in ILS funds less certain due to the potential for loss development. In such circumstances, the impacted investments may be subject to additional lock-up provisions.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ILS funds are typically subject to monthly and annual restrictions on redemptions and advance redemption notice period requirements that range between 30 and 90 calendar days. Amounts requested for redemption remain subject to market fluctuations until the redemption effective date, which is generally at the end of the defined redemption period or when the underlying investment has fully matured or been commuted.</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Infrastructure Funds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Ark invests in open-ended, pooled infrastructure funds focused on making investments in infrastructure assets, which White Mountains classifies as other long-term investments. As of June 30, 2026, Ark has committed a total of $300.0 million across three infrastructure funds. In the second quarter of 2026, Ark satisfied one of its commitments by pre-funding $100.0 million into its first infrastructure fund, with an investment date of July 1, 2026. The $100.0 million pre-funding is recorded as a receivable within other assets as of June 30, 2026. Ark anticipates satisfying its remaining commitments to the other infrastructure funds in the fourth quarter of 2026.</w:t>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Investments in infrastructure funds are generally subject to restrictions, such as lock-up periods during which no redemptions or withdrawals are allowed, restrictions on redemption frequency and advance notice periods for redemptions. The funds in which Ark invests have lock-up periods ranging from zero to four years, subject to the discretion of the individual managers. Redemption of all or a portion of Ark’s infrastructure funds is allowable on a quarterly or semi-annual basis, subject to liquidity and an advanced written notice period of 90 calendar days.</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Rollforward of Level 3 Investments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Level 3 measurements as of June 30, 2026 and 2025 consist of securities for which the estimated fair value has not been determined based upon quoted market price inputs for identical or similar securities. The following table presents the changes in White Mountains’s fair value measurements for Level 3 investments for the six months ended June 30, 2026 and 2025:</w:t>
      </w:r>
    </w:p>
    <w:tbl>
      <w:tblPr>
        <w:tblW w:w="7985" w:type="dxa"/>
        <w:jc w:val="center"/>
        <w:tblInd w:w="0" w:type="dxa"/>
        <w:tblLayout w:type="fixed"/>
        <w:tblCellMar>
          <w:top w:w="28" w:type="dxa"/>
          <w:left w:w="28" w:type="dxa"/>
          <w:bottom w:w="28" w:type="dxa"/>
          <w:right w:w="28" w:type="dxa"/>
        </w:tblCellMar>
      </w:tblPr>
      <w:tblGrid>
        <w:gridCol w:w="1056"/>
        <w:gridCol w:w="879"/>
        <w:gridCol w:w="884"/>
        <w:gridCol w:w="308"/>
        <w:gridCol w:w="308"/>
        <w:gridCol w:w="308"/>
        <w:gridCol w:w="313"/>
        <w:gridCol w:w="109"/>
        <w:gridCol w:w="109"/>
        <w:gridCol w:w="109"/>
        <w:gridCol w:w="109"/>
        <w:gridCol w:w="109"/>
        <w:gridCol w:w="109"/>
        <w:gridCol w:w="109"/>
        <w:gridCol w:w="109"/>
        <w:gridCol w:w="215"/>
        <w:gridCol w:w="798"/>
        <w:gridCol w:w="111"/>
        <w:gridCol w:w="109"/>
        <w:gridCol w:w="109"/>
        <w:gridCol w:w="109"/>
        <w:gridCol w:w="218"/>
        <w:gridCol w:w="794"/>
        <w:gridCol w:w="113"/>
        <w:gridCol w:w="109"/>
        <w:gridCol w:w="109"/>
        <w:gridCol w:w="109"/>
        <w:gridCol w:w="154"/>
      </w:tblGrid>
      <w:tr>
        <w:trPr/>
        <w:tc>
          <w:tcPr>
            <w:tcW w:w="105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56" w:type="dxa"/>
            <w:gridSpan w:val="7"/>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5" w:type="dxa"/>
            <w:gridSpan w:val="15"/>
            <w:tcBorders/>
          </w:tcPr>
          <w:p>
            <w:pPr>
              <w:pStyle w:val="TableContents"/>
              <w:bidi w:val="0"/>
              <w:spacing w:before="0" w:after="283"/>
              <w:jc w:val="left"/>
              <w:rPr>
                <w:sz w:val="4"/>
                <w:szCs w:val="4"/>
              </w:rPr>
            </w:pPr>
            <w:r>
              <w:rPr>
                <w:sz w:val="4"/>
                <w:szCs w:val="4"/>
              </w:rPr>
            </w:r>
          </w:p>
        </w:tc>
      </w:tr>
      <w:tr>
        <w:trPr/>
        <w:tc>
          <w:tcPr>
            <w:tcW w:w="4056"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Other long-term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5" w:type="dxa"/>
            <w:gridSpan w:val="15"/>
            <w:tcBorders/>
          </w:tcPr>
          <w:p>
            <w:pPr>
              <w:pStyle w:val="TableContents"/>
              <w:bidi w:val="0"/>
              <w:spacing w:before="0" w:after="283"/>
              <w:jc w:val="left"/>
              <w:rPr>
                <w:sz w:val="4"/>
                <w:szCs w:val="4"/>
              </w:rPr>
            </w:pPr>
            <w:r>
              <w:rPr>
                <w:sz w:val="4"/>
                <w:szCs w:val="4"/>
              </w:rPr>
            </w:r>
          </w:p>
        </w:tc>
      </w:tr>
      <w:tr>
        <w:trPr/>
        <w:tc>
          <w:tcPr>
            <w:tcW w:w="2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1,814.4</w:t>
            </w:r>
            <w:r>
              <w:rPr>
                <w:color w:val="000000"/>
              </w:rPr>
              <w:t>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1,262.7 </w:t>
            </w:r>
          </w:p>
        </w:tc>
        <w:tc>
          <w:tcPr>
            <w:tcW w:w="11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and unrealized gains</w:t>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147.5</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and contributions</w:t>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179.9</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distributions</w:t>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(102.4)</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Transfers in</w:t>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Transfers out</w:t>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2,039.4</w:t>
            </w:r>
            <w:r>
              <w:rPr>
                <w:color w:val="000000"/>
              </w:rPr>
              <w:t> </w:t>
            </w:r>
          </w:p>
        </w:tc>
        <w:tc>
          <w:tcPr>
            <w:tcW w:w="1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1,392.8 </w:t>
            </w:r>
          </w:p>
        </w:tc>
        <w:tc>
          <w:tcPr>
            <w:tcW w:w="1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firstLine="990"/>
        <w:jc w:val="left"/>
        <w:rPr/>
      </w:pPr>
      <w:r>
        <w:rPr/>
      </w:r>
    </w:p>
    <w:p>
      <w:pPr>
        <w:pStyle w:val="TextBody"/>
        <w:bidi w:val="0"/>
        <w:spacing w:before="100" w:after="283"/>
        <w:ind w:left="0" w:right="0" w:hanging="18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Significant Unobservable Inputs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 xml:space="preserve">The following tables present significant unobservable inputs used in estimating the fair value of White Mountains’s other long-term investments, classified within Level 3 as of June 30, 2026 and December 31, 2025. The tables below exclude $10.4 million and $250.4 million of Level 3 other long-term investments generally valued based on recent or expected transaction prices. As of December 31, 2025, the Bamboo SPV was measured at fair value based on the value implied in the Bamboo Sale Transaction. See </w:t>
      </w:r>
      <w:r>
        <w:rPr>
          <w:rFonts w:ascii="Times New Roman;serif" w:hAnsi="Times New Roman;serif"/>
          <w:b/>
          <w:color w:val="000000"/>
          <w:sz w:val="20"/>
        </w:rPr>
        <w:t>Note 2 — “Significant Transactions.”</w:t>
      </w:r>
      <w:r>
        <w:rPr>
          <w:color w:val="000000"/>
        </w:rPr>
        <w:t xml:space="preserve"> </w:t>
      </w:r>
      <w:r>
        <w:rPr>
          <w:rFonts w:ascii="Times New Roman;serif" w:hAnsi="Times New Roman;serif"/>
          <w:b w:val="false"/>
          <w:color w:val="000000"/>
          <w:sz w:val="20"/>
        </w:rPr>
        <w:t>The fair value of investments in the BroadStreet SPV, private equity funds and hedge funds, bank loan funds, Lloyd’s trust deposits and ILS funds are generally estimated using NAV. Investments for which fair value is measured at NAV are not classified within the fair value hierarchy.</w:t>
      </w:r>
    </w:p>
    <w:tbl>
      <w:tblPr>
        <w:tblW w:w="10205" w:type="dxa"/>
        <w:jc w:val="center"/>
        <w:tblInd w:w="0" w:type="dxa"/>
        <w:tblLayout w:type="fixed"/>
        <w:tblCellMar>
          <w:top w:w="28" w:type="dxa"/>
          <w:left w:w="28" w:type="dxa"/>
          <w:bottom w:w="28" w:type="dxa"/>
          <w:right w:w="28" w:type="dxa"/>
        </w:tblCellMar>
      </w:tblPr>
      <w:tblGrid>
        <w:gridCol w:w="686"/>
        <w:gridCol w:w="573"/>
        <w:gridCol w:w="568"/>
        <w:gridCol w:w="109"/>
        <w:gridCol w:w="109"/>
        <w:gridCol w:w="109"/>
        <w:gridCol w:w="479"/>
        <w:gridCol w:w="479"/>
        <w:gridCol w:w="480"/>
        <w:gridCol w:w="109"/>
        <w:gridCol w:w="109"/>
        <w:gridCol w:w="109"/>
        <w:gridCol w:w="322"/>
        <w:gridCol w:w="322"/>
        <w:gridCol w:w="324"/>
        <w:gridCol w:w="109"/>
        <w:gridCol w:w="109"/>
        <w:gridCol w:w="109"/>
        <w:gridCol w:w="339"/>
        <w:gridCol w:w="339"/>
        <w:gridCol w:w="341"/>
        <w:gridCol w:w="173"/>
        <w:gridCol w:w="173"/>
        <w:gridCol w:w="173"/>
        <w:gridCol w:w="994"/>
        <w:gridCol w:w="994"/>
        <w:gridCol w:w="1465"/>
      </w:tblGrid>
      <w:tr>
        <w:trPr/>
        <w:tc>
          <w:tcPr>
            <w:tcW w:w="68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r>
      <w:tr>
        <w:trPr/>
        <w:tc>
          <w:tcPr>
            <w:tcW w:w="1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1"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0"/>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1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Valuation Technique(s)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Fair Value </w:t>
            </w:r>
            <w:r>
              <w:rPr>
                <w:rFonts w:ascii="Times New Roman;serif" w:hAnsi="Times New Roman;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Unobservable Inputs</w:t>
            </w:r>
          </w:p>
        </w:tc>
      </w:tr>
      <w:tr>
        <w:trPr/>
        <w:tc>
          <w:tcPr>
            <w:tcW w:w="18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Discount Rate </w:t>
            </w:r>
            <w:r>
              <w:rPr>
                <w:rFonts w:ascii="Times New Roman;serif" w:hAnsi="Times New Roman;serif"/>
                <w:b/>
                <w:color w:val="000000"/>
                <w:sz w:val="10"/>
              </w:rPr>
              <w:t>(5)</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Terminal Cash Flow Exit Multiple (x) or Terminal Revenue Growth Rate (%) </w:t>
            </w:r>
            <w:r>
              <w:rPr>
                <w:rFonts w:ascii="Times New Roman;serif" w:hAnsi="Times New Roman;serif"/>
                <w:b/>
                <w:color w:val="000000"/>
                <w:sz w:val="10"/>
              </w:rPr>
              <w:t>(5)</w:t>
            </w:r>
          </w:p>
        </w:tc>
      </w:tr>
      <w:tr>
        <w:trPr/>
        <w:tc>
          <w:tcPr>
            <w:tcW w:w="1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283"/>
              <w:jc w:val="left"/>
              <w:rPr>
                <w:sz w:val="4"/>
                <w:szCs w:val="4"/>
              </w:rPr>
            </w:pPr>
            <w:r>
              <w:rPr>
                <w:sz w:val="4"/>
                <w:szCs w:val="4"/>
              </w:rPr>
            </w:r>
          </w:p>
        </w:tc>
      </w:tr>
      <w:tr>
        <w:trPr/>
        <w:tc>
          <w:tcPr>
            <w:tcW w:w="1827" w:type="dxa"/>
            <w:gridSpan w:val="3"/>
            <w:tcBorders/>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16"/>
              </w:rPr>
              <w:t xml:space="preserve">Kudu’s Participation Contracts </w:t>
            </w:r>
            <w:r>
              <w:rPr>
                <w:rFonts w:ascii="Times New Roman;serif" w:hAnsi="Times New Roman;serif"/>
                <w:b w:val="false"/>
                <w:color w:val="000000"/>
                <w:sz w:val="10"/>
              </w:rPr>
              <w:t>(3)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Discounted cash flow</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$1,344.6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16% - 22%</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7x - 22x</w:t>
            </w:r>
          </w:p>
        </w:tc>
      </w:tr>
      <w:tr>
        <w:trPr/>
        <w:tc>
          <w:tcPr>
            <w:tcW w:w="18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Bamboo SPV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Discounted cash flow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$280.0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16%</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4%</w:t>
            </w:r>
          </w:p>
        </w:tc>
      </w:tr>
      <w:tr>
        <w:trPr/>
        <w:tc>
          <w:tcPr>
            <w:tcW w:w="1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PassportCard/DavidShield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Discounted cash flow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$170.0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24%</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4%</w:t>
            </w:r>
          </w:p>
        </w:tc>
      </w:tr>
      <w:tr>
        <w:trPr/>
        <w:tc>
          <w:tcPr>
            <w:tcW w:w="1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Bishop Street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Discounted cash flow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$130.0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14%</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w:t>
            </w:r>
          </w:p>
        </w:tc>
      </w:tr>
      <w:tr>
        <w:trPr/>
        <w:tc>
          <w:tcPr>
            <w:tcW w:w="18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Private common shares and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Discounted cash flow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$57.5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22% - 35%</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3% - 4%</w:t>
            </w:r>
          </w:p>
        </w:tc>
      </w:tr>
      <w:tr>
        <w:trPr/>
        <w:tc>
          <w:tcPr>
            <w:tcW w:w="18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Private preferred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Discounted cash flow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15%</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w:t>
            </w:r>
          </w:p>
        </w:tc>
      </w:tr>
      <w:tr>
        <w:trPr/>
        <w:tc>
          <w:tcPr>
            <w:tcW w:w="18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Private debt instruments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Discounted cash flow</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$10.0</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11% </w:t>
            </w:r>
          </w:p>
        </w:tc>
        <w:tc>
          <w:tcPr>
            <w:tcW w:w="51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w:t>
            </w:r>
          </w:p>
        </w:tc>
      </w:tr>
      <w:tr>
        <w:trPr/>
        <w:tc>
          <w:tcPr>
            <w:tcW w:w="1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283"/>
              <w:jc w:val="left"/>
              <w:rPr>
                <w:sz w:val="4"/>
                <w:szCs w:val="4"/>
              </w:rPr>
            </w:pPr>
            <w:r>
              <w:rPr>
                <w:sz w:val="4"/>
                <w:szCs w:val="4"/>
              </w:rPr>
            </w:r>
          </w:p>
        </w:tc>
      </w:tr>
      <w:tr>
        <w:trPr/>
        <w:tc>
          <w:tcPr>
            <w:tcW w:w="1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18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 xml:space="preserve">Key inputs to the discounted cash flow analysis generally include projections of future revenue and earnings, discount rates and terminal exit multiples or growth rates. </w:t>
      </w:r>
    </w:p>
    <w:p>
      <w:pPr>
        <w:pStyle w:val="TextBody"/>
        <w:bidi w:val="0"/>
        <w:spacing w:lineRule="auto" w:line="288" w:before="0" w:after="0"/>
        <w:ind w:left="0" w:right="0" w:hanging="18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Includes the net unrealized investment gains (losses) associated with foreign currency; foreign currency effects based on observable inputs.</w:t>
      </w:r>
    </w:p>
    <w:p>
      <w:pPr>
        <w:pStyle w:val="TextBody"/>
        <w:bidi w:val="0"/>
        <w:spacing w:lineRule="auto" w:line="288" w:before="0" w:after="0"/>
        <w:ind w:left="0" w:right="0" w:hanging="180"/>
        <w:jc w:val="left"/>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Since Kudu’s Participation Contracts are not subject to corporate taxes within Kudu Investment Management, LLC, pre-tax discount rates are applied to pre-tax cash flows in determining fair values. The weighted average discount rate and weighted average terminal cash flow exit multiple applied to Kudu’s Participation Contracts was 18% and 14x.</w:t>
      </w:r>
    </w:p>
    <w:p>
      <w:pPr>
        <w:pStyle w:val="TextBody"/>
        <w:bidi w:val="0"/>
        <w:spacing w:lineRule="auto" w:line="268" w:before="0" w:after="0"/>
        <w:ind w:left="0" w:right="0" w:hanging="180"/>
        <w:jc w:val="left"/>
        <w:rPr/>
      </w:pPr>
      <w:r>
        <w:rPr>
          <w:rFonts w:ascii="Times New Roman;serif" w:hAnsi="Times New Roman;serif"/>
          <w:b w:val="false"/>
          <w:color w:val="000000"/>
          <w:sz w:val="10"/>
        </w:rPr>
        <w:t>(4)</w:t>
      </w:r>
      <w:r>
        <w:rPr>
          <w:color w:val="000000"/>
        </w:rPr>
        <w:t xml:space="preserve"> </w:t>
      </w:r>
      <w:r>
        <w:rPr>
          <w:rFonts w:ascii="Times New Roman;serif" w:hAnsi="Times New Roman;serif"/>
          <w:b w:val="false"/>
          <w:color w:val="000000"/>
          <w:sz w:val="16"/>
        </w:rPr>
        <w:t>In the first six months of 2026, Kudu contributed $43.3 into new and existing Participation Contracts.</w:t>
      </w:r>
    </w:p>
    <w:p>
      <w:pPr>
        <w:pStyle w:val="TextBody"/>
        <w:bidi w:val="0"/>
        <w:spacing w:lineRule="auto" w:line="268" w:before="0" w:after="0"/>
        <w:ind w:left="0" w:right="0" w:hanging="180"/>
        <w:jc w:val="left"/>
        <w:rPr/>
      </w:pPr>
      <w:r>
        <w:rPr>
          <w:rFonts w:ascii="Times New Roman;serif" w:hAnsi="Times New Roman;serif"/>
          <w:b w:val="false"/>
          <w:color w:val="000000"/>
          <w:sz w:val="10"/>
        </w:rPr>
        <w:t>(5)</w:t>
      </w:r>
      <w:r>
        <w:rPr>
          <w:color w:val="000000"/>
        </w:rPr>
        <w:t xml:space="preserve"> </w:t>
      </w:r>
      <w:r>
        <w:rPr>
          <w:rFonts w:ascii="Times New Roman;serif" w:hAnsi="Times New Roman;serif"/>
          <w:b w:val="false"/>
          <w:color w:val="000000"/>
          <w:sz w:val="16"/>
        </w:rPr>
        <w:t>Increases (decreases) to the discount rates in isolation would result in lower (higher) fair value measurements, while increases (decreases) to the terminal cash flow exit multiples or terminal revenue growth rates in isolation would result in higher (lower) fair value measurements.</w:t>
      </w:r>
    </w:p>
    <w:p>
      <w:pPr>
        <w:pStyle w:val="TextBody"/>
        <w:bidi w:val="0"/>
        <w:spacing w:before="0" w:after="0"/>
        <w:ind w:left="0" w:right="0" w:hanging="180"/>
        <w:jc w:val="left"/>
        <w:rPr/>
      </w:pPr>
      <w:r>
        <w:rPr/>
      </w:r>
    </w:p>
    <w:p>
      <w:pPr>
        <w:pStyle w:val="TextBody"/>
        <w:bidi w:val="0"/>
        <w:spacing w:before="0" w:after="0"/>
        <w:ind w:left="0" w:right="0" w:hanging="180"/>
        <w:jc w:val="left"/>
        <w:rPr/>
      </w:pPr>
      <w:r>
        <w:rPr/>
      </w:r>
    </w:p>
    <w:tbl>
      <w:tblPr>
        <w:tblW w:w="10205" w:type="dxa"/>
        <w:jc w:val="center"/>
        <w:tblInd w:w="0" w:type="dxa"/>
        <w:tblLayout w:type="fixed"/>
        <w:tblCellMar>
          <w:top w:w="28" w:type="dxa"/>
          <w:left w:w="28" w:type="dxa"/>
          <w:bottom w:w="28" w:type="dxa"/>
          <w:right w:w="28" w:type="dxa"/>
        </w:tblCellMar>
      </w:tblPr>
      <w:tblGrid>
        <w:gridCol w:w="686"/>
        <w:gridCol w:w="573"/>
        <w:gridCol w:w="568"/>
        <w:gridCol w:w="109"/>
        <w:gridCol w:w="109"/>
        <w:gridCol w:w="109"/>
        <w:gridCol w:w="479"/>
        <w:gridCol w:w="479"/>
        <w:gridCol w:w="480"/>
        <w:gridCol w:w="109"/>
        <w:gridCol w:w="109"/>
        <w:gridCol w:w="109"/>
        <w:gridCol w:w="322"/>
        <w:gridCol w:w="322"/>
        <w:gridCol w:w="324"/>
        <w:gridCol w:w="109"/>
        <w:gridCol w:w="109"/>
        <w:gridCol w:w="109"/>
        <w:gridCol w:w="339"/>
        <w:gridCol w:w="339"/>
        <w:gridCol w:w="341"/>
        <w:gridCol w:w="173"/>
        <w:gridCol w:w="173"/>
        <w:gridCol w:w="173"/>
        <w:gridCol w:w="994"/>
        <w:gridCol w:w="994"/>
        <w:gridCol w:w="1465"/>
      </w:tblGrid>
      <w:tr>
        <w:trPr/>
        <w:tc>
          <w:tcPr>
            <w:tcW w:w="68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r>
      <w:tr>
        <w:trPr/>
        <w:tc>
          <w:tcPr>
            <w:tcW w:w="1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51"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Valuation Technique(s)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Fair Value </w:t>
            </w:r>
            <w:r>
              <w:rPr>
                <w:rFonts w:ascii="Times New Roman;serif" w:hAnsi="Times New Roman;serif"/>
                <w:b/>
                <w:color w:val="000000"/>
                <w:sz w:val="10"/>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Unobservable Inputs</w:t>
            </w:r>
          </w:p>
        </w:tc>
      </w:tr>
      <w:tr>
        <w:trPr/>
        <w:tc>
          <w:tcPr>
            <w:tcW w:w="18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Discount Rate </w:t>
            </w:r>
            <w:r>
              <w:rPr>
                <w:rFonts w:ascii="Times New Roman;serif" w:hAnsi="Times New Roman;serif"/>
                <w:b/>
                <w:color w:val="000000"/>
                <w:sz w:val="10"/>
              </w:rPr>
              <w:t>(5)</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Terminal Cash Flow Exit Multiple (x) or Terminal Revenue Growth Rate (%) </w:t>
            </w:r>
            <w:r>
              <w:rPr>
                <w:rFonts w:ascii="Times New Roman;serif" w:hAnsi="Times New Roman;serif"/>
                <w:b/>
                <w:color w:val="000000"/>
                <w:sz w:val="10"/>
              </w:rPr>
              <w:t>(5)</w:t>
            </w:r>
          </w:p>
        </w:tc>
      </w:tr>
      <w:tr>
        <w:trPr/>
        <w:tc>
          <w:tcPr>
            <w:tcW w:w="1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283"/>
              <w:jc w:val="left"/>
              <w:rPr>
                <w:sz w:val="4"/>
                <w:szCs w:val="4"/>
              </w:rPr>
            </w:pPr>
            <w:r>
              <w:rPr>
                <w:sz w:val="4"/>
                <w:szCs w:val="4"/>
              </w:rPr>
            </w:r>
          </w:p>
        </w:tc>
      </w:tr>
      <w:tr>
        <w:trPr/>
        <w:tc>
          <w:tcPr>
            <w:tcW w:w="182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Kudu’s Participation Contracts </w:t>
            </w:r>
            <w:r>
              <w:rPr>
                <w:rFonts w:ascii="Times New Roman;serif" w:hAnsi="Times New Roman;serif"/>
                <w:b w:val="false"/>
                <w:color w:val="000000"/>
                <w:sz w:val="10"/>
              </w:rPr>
              <w:t>(3)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6"/>
              </w:rPr>
              <w:t>Discounted cash flow</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$1,285.0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16% - 25%</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7x - 22x</w:t>
            </w:r>
          </w:p>
        </w:tc>
      </w:tr>
      <w:tr>
        <w:trPr/>
        <w:tc>
          <w:tcPr>
            <w:tcW w:w="18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PassportCard/DavidShield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Discounted cash flow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$170.0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24%</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w:t>
            </w:r>
          </w:p>
        </w:tc>
      </w:tr>
      <w:tr>
        <w:trPr/>
        <w:tc>
          <w:tcPr>
            <w:tcW w:w="18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Private common shares and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Discounted cash flow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22% - 35%</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3% - 4%</w:t>
            </w:r>
          </w:p>
        </w:tc>
      </w:tr>
      <w:tr>
        <w:trPr/>
        <w:tc>
          <w:tcPr>
            <w:tcW w:w="18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Private preferred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Discounted cash flow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8%</w:t>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18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Private debt instruments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Discounted cash flow</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$16.5</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11% - 12%</w:t>
            </w:r>
          </w:p>
        </w:tc>
        <w:tc>
          <w:tcPr>
            <w:tcW w:w="51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w:t>
            </w:r>
          </w:p>
        </w:tc>
      </w:tr>
      <w:tr>
        <w:trPr/>
        <w:tc>
          <w:tcPr>
            <w:tcW w:w="1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283"/>
              <w:jc w:val="left"/>
              <w:rPr>
                <w:sz w:val="4"/>
                <w:szCs w:val="4"/>
              </w:rPr>
            </w:pPr>
            <w:r>
              <w:rPr>
                <w:sz w:val="4"/>
                <w:szCs w:val="4"/>
              </w:rPr>
            </w:r>
          </w:p>
        </w:tc>
      </w:tr>
      <w:tr>
        <w:trPr/>
        <w:tc>
          <w:tcPr>
            <w:tcW w:w="18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18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 xml:space="preserve">Key inputs to the discounted cash flow analysis generally include projections of future revenue and earnings, discount rates and terminal exit multiples or growth rates. </w:t>
      </w:r>
    </w:p>
    <w:p>
      <w:pPr>
        <w:pStyle w:val="TextBody"/>
        <w:bidi w:val="0"/>
        <w:spacing w:lineRule="auto" w:line="288" w:before="0" w:after="0"/>
        <w:ind w:left="0" w:right="0" w:hanging="18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Includes the net unrealized investment gains (losses) associated with foreign currency; foreign currency effects based on observable inputs.</w:t>
      </w:r>
    </w:p>
    <w:p>
      <w:pPr>
        <w:pStyle w:val="TextBody"/>
        <w:bidi w:val="0"/>
        <w:spacing w:lineRule="auto" w:line="288" w:before="0" w:after="0"/>
        <w:ind w:left="0" w:right="0" w:hanging="180"/>
        <w:jc w:val="left"/>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Since Kudu’s Participation Contracts are not subject to corporate taxes within Kudu Investment Management, LLC, pre-tax discount rates are applied to pre-tax cash flows in determining fair values. The weighted average discount rate and weighted average terminal cash flow exit multiple applied to Kudu’s Participation Contracts was 19% and 14x.</w:t>
      </w:r>
    </w:p>
    <w:p>
      <w:pPr>
        <w:pStyle w:val="TextBody"/>
        <w:bidi w:val="0"/>
        <w:spacing w:lineRule="auto" w:line="288" w:before="0" w:after="0"/>
        <w:ind w:left="0" w:right="0" w:hanging="180"/>
        <w:jc w:val="left"/>
        <w:rPr/>
      </w:pPr>
      <w:r>
        <w:rPr>
          <w:rFonts w:ascii="Times New Roman;serif" w:hAnsi="Times New Roman;serif"/>
          <w:b w:val="false"/>
          <w:color w:val="000000"/>
          <w:sz w:val="10"/>
        </w:rPr>
        <w:t xml:space="preserve">(4) </w:t>
      </w:r>
      <w:r>
        <w:rPr>
          <w:rFonts w:ascii="Times New Roman;serif" w:hAnsi="Times New Roman;serif"/>
          <w:b w:val="false"/>
          <w:color w:val="000000"/>
          <w:sz w:val="16"/>
        </w:rPr>
        <w:t xml:space="preserve">In 2025, Kudu contributed $201.7 into new and existing Participation Contracts. </w:t>
      </w:r>
    </w:p>
    <w:p>
      <w:pPr>
        <w:pStyle w:val="TextBody"/>
        <w:bidi w:val="0"/>
        <w:spacing w:lineRule="auto" w:line="268" w:before="0" w:after="0"/>
        <w:ind w:left="0" w:right="0" w:hanging="180"/>
        <w:jc w:val="left"/>
        <w:rPr/>
      </w:pPr>
      <w:r>
        <w:rPr>
          <w:rFonts w:ascii="Times New Roman;serif" w:hAnsi="Times New Roman;serif"/>
          <w:b w:val="false"/>
          <w:color w:val="000000"/>
          <w:sz w:val="10"/>
        </w:rPr>
        <w:t>(5)</w:t>
      </w:r>
      <w:r>
        <w:rPr>
          <w:color w:val="000000"/>
        </w:rPr>
        <w:t xml:space="preserve"> </w:t>
      </w:r>
      <w:r>
        <w:rPr>
          <w:rFonts w:ascii="Times New Roman;serif" w:hAnsi="Times New Roman;serif"/>
          <w:b w:val="false"/>
          <w:color w:val="000000"/>
          <w:sz w:val="16"/>
        </w:rPr>
        <w:t>Increases (decreases) to the discount rates in isolation would result in lower (higher) fair value measurements, while increases (decreases) to the terminal cash flow exit multiples or terminal revenue growth rates in isolation would result in higher (lower) fair value measurements.</w:t>
      </w:r>
    </w:p>
    <w:p>
      <w:pPr>
        <w:pStyle w:val="TextBody"/>
        <w:bidi w:val="0"/>
        <w:spacing w:before="0" w:after="0"/>
        <w:jc w:val="left"/>
        <w:rPr/>
      </w:pPr>
      <w:r>
        <w:rPr/>
      </w:r>
    </w:p>
    <w:p>
      <w:pPr>
        <w:pStyle w:val="TextBody"/>
        <w:bidi w:val="0"/>
        <w:spacing w:before="0" w:after="0"/>
        <w:ind w:left="0" w:right="0" w:hanging="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Note 4. Goodwill and Other Intangible Assets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White Mountains accounts for business combinations using the acquisition method. Under the acquisition method, White Mountains recognizes and measures the assets acquired, including other intangible assets, and liabilities assumed, including contingent consideration liabilities, at their estimated fair values as of the acquisition date. Goodwill represents the excess of the amount paid to acquire a business over the fair value of identifiable net assets at the acquisition date. The estimated acquisition date fair values, generally consisting of other intangible assets and contingent consideration liabilities, may be recorded at provisional amounts in circumstances where the information necessary to complete the acquisition accounting is not available at the reporting date. Any such provisional amounts are finalized as measurement period adjustments within one year of the acquisition date.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the economic life, acquisition date fair value, accumulated amortization, impairments and net carrying value for goodwill and other intangible assets as of June 30, 2026 and December 31, 2025: </w:t>
      </w:r>
    </w:p>
    <w:tbl>
      <w:tblPr>
        <w:tblW w:w="10205" w:type="dxa"/>
        <w:jc w:val="center"/>
        <w:tblInd w:w="0" w:type="dxa"/>
        <w:tblLayout w:type="fixed"/>
        <w:tblCellMar>
          <w:top w:w="28" w:type="dxa"/>
          <w:left w:w="28" w:type="dxa"/>
          <w:bottom w:w="28" w:type="dxa"/>
          <w:right w:w="28" w:type="dxa"/>
        </w:tblCellMar>
      </w:tblPr>
      <w:tblGrid>
        <w:gridCol w:w="647"/>
        <w:gridCol w:w="396"/>
        <w:gridCol w:w="393"/>
        <w:gridCol w:w="109"/>
        <w:gridCol w:w="109"/>
        <w:gridCol w:w="109"/>
        <w:gridCol w:w="547"/>
        <w:gridCol w:w="547"/>
        <w:gridCol w:w="549"/>
        <w:gridCol w:w="109"/>
        <w:gridCol w:w="109"/>
        <w:gridCol w:w="109"/>
        <w:gridCol w:w="298"/>
        <w:gridCol w:w="1073"/>
        <w:gridCol w:w="165"/>
        <w:gridCol w:w="109"/>
        <w:gridCol w:w="109"/>
        <w:gridCol w:w="109"/>
        <w:gridCol w:w="384"/>
        <w:gridCol w:w="945"/>
        <w:gridCol w:w="215"/>
        <w:gridCol w:w="109"/>
        <w:gridCol w:w="109"/>
        <w:gridCol w:w="109"/>
        <w:gridCol w:w="302"/>
        <w:gridCol w:w="627"/>
        <w:gridCol w:w="168"/>
        <w:gridCol w:w="109"/>
        <w:gridCol w:w="109"/>
        <w:gridCol w:w="109"/>
        <w:gridCol w:w="242"/>
        <w:gridCol w:w="873"/>
        <w:gridCol w:w="199"/>
      </w:tblGrid>
      <w:tr>
        <w:trPr/>
        <w:tc>
          <w:tcPr>
            <w:tcW w:w="647"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4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Millions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Weighted Average Economic Life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14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643"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Acquisition Date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Impairments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Value</w:t>
            </w:r>
          </w:p>
        </w:tc>
      </w:tr>
      <w:tr>
        <w:trPr/>
        <w:tc>
          <w:tcPr>
            <w:tcW w:w="1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Goodwill: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7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116.8</w:t>
            </w: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4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2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7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116.8</w:t>
            </w:r>
            <w:r>
              <w:rPr>
                <w:color w:val="000000"/>
              </w:rPr>
              <w:t>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Kudu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7.6</w:t>
            </w: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7.6</w:t>
            </w:r>
            <w:r>
              <w:rPr>
                <w:color w:val="000000"/>
              </w:rPr>
              <w:t>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Distinguished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397.9</w:t>
            </w: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397.9</w:t>
            </w:r>
            <w:r>
              <w:rPr>
                <w:color w:val="000000"/>
              </w:rPr>
              <w:t>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WTM Partners </w:t>
            </w:r>
            <w:r>
              <w:rPr>
                <w:rFonts w:ascii="Times New Roman;serif" w:hAnsi="Times New Roman;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238.3</w:t>
            </w: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238.3</w:t>
            </w:r>
            <w:r>
              <w:rPr>
                <w:color w:val="000000"/>
              </w:rPr>
              <w:t>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44.4</w:t>
            </w: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9.1</w:t>
            </w:r>
            <w:r>
              <w:rPr>
                <w:color w:val="000000"/>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35.3</w:t>
            </w:r>
            <w:r>
              <w:rPr>
                <w:color w:val="000000"/>
              </w:rPr>
              <w:t>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goodwill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805.0</w:t>
            </w:r>
            <w:r>
              <w:rPr>
                <w:color w:val="000000"/>
              </w:rPr>
              <w:t> </w:t>
            </w:r>
          </w:p>
        </w:tc>
        <w:tc>
          <w:tcPr>
            <w:tcW w:w="1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9.1</w:t>
            </w:r>
            <w:r>
              <w:rPr>
                <w:color w:val="000000"/>
              </w:rPr>
              <w:t>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795.9</w:t>
            </w:r>
            <w:r>
              <w:rPr>
                <w:color w:val="000000"/>
              </w:rPr>
              <w:t> </w:t>
            </w:r>
          </w:p>
        </w:tc>
        <w:tc>
          <w:tcPr>
            <w:tcW w:w="19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Ark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Underwriting capacity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175.7</w:t>
            </w: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175.7</w:t>
            </w:r>
            <w:r>
              <w:rPr>
                <w:color w:val="000000"/>
              </w:rPr>
              <w:t>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r>
      <w:tr>
        <w:trPr/>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r>
      <w:tr>
        <w:trPr/>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r>
      <w:tr>
        <w:trPr/>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r>
      <w:tr>
        <w:trPr/>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r>
      <w:tr>
        <w:trPr/>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r>
      <w:tr>
        <w:trPr/>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r>
      <w:tr>
        <w:trPr/>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r>
      <w:tr>
        <w:trPr/>
        <w:tc>
          <w:tcPr>
            <w:tcW w:w="1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Kudu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w:t>
            </w: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w:t>
            </w:r>
            <w:r>
              <w:rPr>
                <w:color w:val="000000"/>
              </w:rPr>
              <w:t>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Distinguished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24.3</w:t>
            </w: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w:t>
            </w:r>
            <w:r>
              <w:rPr>
                <w:color w:val="000000"/>
              </w:rPr>
              <w:t>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22.3</w:t>
            </w:r>
            <w:r>
              <w:rPr>
                <w:color w:val="000000"/>
              </w:rPr>
              <w:t>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Agency 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127.9</w:t>
            </w: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13.5</w:t>
            </w:r>
            <w:r>
              <w:rPr>
                <w:color w:val="000000"/>
              </w:rPr>
              <w:t>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114.4</w:t>
            </w:r>
            <w:r>
              <w:rPr>
                <w:color w:val="000000"/>
              </w:rPr>
              <w:t>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Developed technology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36.6</w:t>
            </w: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6.1</w:t>
            </w:r>
            <w:r>
              <w:rPr>
                <w:color w:val="000000"/>
              </w:rPr>
              <w:t>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30.5</w:t>
            </w:r>
            <w:r>
              <w:rPr>
                <w:color w:val="000000"/>
              </w:rPr>
              <w:t>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Subtotal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188.8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167.2</w:t>
            </w:r>
            <w:r>
              <w:rPr>
                <w:color w:val="000000"/>
              </w:rPr>
              <w:t> </w:t>
            </w:r>
          </w:p>
        </w:tc>
        <w:tc>
          <w:tcPr>
            <w:tcW w:w="19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i/>
                <w:color w:val="000000"/>
                <w:sz w:val="18"/>
              </w:rPr>
              <w:t xml:space="preserve">WTM Partners </w:t>
            </w:r>
            <w:r>
              <w:rPr>
                <w:rFonts w:ascii="Times New Roman;serif" w:hAnsi="Times New Roman;serif"/>
                <w:b/>
                <w:i/>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9.1</w:t>
            </w: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w:t>
            </w:r>
            <w:r>
              <w:rPr>
                <w:color w:val="000000"/>
              </w:rPr>
              <w:t>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8.0</w:t>
            </w:r>
            <w:r>
              <w:rPr>
                <w:color w:val="000000"/>
              </w:rPr>
              <w:t>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28.5</w:t>
            </w: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5.2</w:t>
            </w:r>
            <w:r>
              <w:rPr>
                <w:color w:val="000000"/>
              </w:rPr>
              <w:t>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23.3</w:t>
            </w:r>
            <w:r>
              <w:rPr>
                <w:color w:val="000000"/>
              </w:rPr>
              <w:t>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Subtotal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37.6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31.3</w:t>
            </w:r>
            <w:r>
              <w:rPr>
                <w:color w:val="000000"/>
              </w:rPr>
              <w:t> </w:t>
            </w:r>
          </w:p>
        </w:tc>
        <w:tc>
          <w:tcPr>
            <w:tcW w:w="19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8"/>
              </w:rPr>
            </w:pPr>
            <w:r>
              <w:rPr>
                <w:rFonts w:ascii="Times New Roman;serif" w:hAnsi="Times New Roman;serif"/>
                <w:b/>
                <w:i/>
                <w:color w:val="000000"/>
                <w:sz w:val="18"/>
              </w:rPr>
              <w:t>Other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13.3</w:t>
            </w: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7.6</w:t>
            </w:r>
            <w:r>
              <w:rPr>
                <w:color w:val="000000"/>
              </w:rPr>
              <w:t>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w:t>
            </w:r>
            <w:r>
              <w:rPr>
                <w:color w:val="000000"/>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5.5</w:t>
            </w:r>
            <w:r>
              <w:rPr>
                <w:color w:val="000000"/>
              </w:rPr>
              <w:t>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24.8</w:t>
            </w: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17.5</w:t>
            </w:r>
            <w:r>
              <w:rPr>
                <w:color w:val="000000"/>
              </w:rPr>
              <w:t>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w:t>
            </w:r>
            <w:r>
              <w:rPr>
                <w:color w:val="000000"/>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7.0</w:t>
            </w:r>
            <w:r>
              <w:rPr>
                <w:color w:val="000000"/>
              </w:rPr>
              <w:t>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r>
      <w:tr>
        <w:trPr/>
        <w:tc>
          <w:tcPr>
            <w:tcW w:w="14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r>
      <w:tr>
        <w:trPr/>
        <w:tc>
          <w:tcPr>
            <w:tcW w:w="14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w:t>
            </w:r>
            <w:r>
              <w:rPr>
                <w:color w:val="000000"/>
              </w:rPr>
              <w:t>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w:t>
            </w:r>
            <w:r>
              <w:rPr>
                <w:color w:val="000000"/>
              </w:rPr>
              <w:t> </w:t>
            </w:r>
          </w:p>
        </w:tc>
        <w:tc>
          <w:tcPr>
            <w:tcW w:w="21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w:t>
            </w:r>
            <w:r>
              <w:rPr>
                <w:color w:val="000000"/>
              </w:rPr>
              <w:t> </w:t>
            </w:r>
          </w:p>
        </w:tc>
        <w:tc>
          <w:tcPr>
            <w:tcW w:w="1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Subtotal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41.2</w:t>
            </w:r>
            <w:r>
              <w:rPr>
                <w:color w:val="000000"/>
              </w:rPr>
              <w:t> </w:t>
            </w:r>
          </w:p>
        </w:tc>
        <w:tc>
          <w:tcPr>
            <w:tcW w:w="1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27.1</w:t>
            </w:r>
            <w:r>
              <w:rPr>
                <w:color w:val="000000"/>
              </w:rPr>
              <w:t> </w:t>
            </w:r>
          </w:p>
        </w:tc>
        <w:tc>
          <w:tcPr>
            <w:tcW w:w="2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w:t>
            </w:r>
            <w:r>
              <w:rPr>
                <w:color w:val="000000"/>
              </w:rPr>
              <w:t>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13.6</w:t>
            </w:r>
            <w:r>
              <w:rPr>
                <w:color w:val="000000"/>
              </w:rPr>
              <w:t> </w:t>
            </w:r>
          </w:p>
        </w:tc>
        <w:tc>
          <w:tcPr>
            <w:tcW w:w="19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intangible assets</w:t>
            </w:r>
          </w:p>
        </w:tc>
        <w:tc>
          <w:tcPr>
            <w:tcW w:w="13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445.5</w:t>
            </w:r>
            <w:r>
              <w:rPr>
                <w:color w:val="000000"/>
              </w:rPr>
              <w:t> </w:t>
            </w:r>
          </w:p>
        </w:tc>
        <w:tc>
          <w:tcPr>
            <w:tcW w:w="1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57.2</w:t>
            </w:r>
            <w:r>
              <w:rPr>
                <w:color w:val="000000"/>
              </w:rPr>
              <w:t> </w:t>
            </w:r>
          </w:p>
        </w:tc>
        <w:tc>
          <w:tcPr>
            <w:tcW w:w="21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w:t>
            </w:r>
            <w:r>
              <w:rPr>
                <w:color w:val="000000"/>
              </w:rPr>
              <w:t>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387.8</w:t>
            </w:r>
            <w:r>
              <w:rPr>
                <w:color w:val="000000"/>
              </w:rPr>
              <w:t> </w:t>
            </w:r>
          </w:p>
        </w:tc>
        <w:tc>
          <w:tcPr>
            <w:tcW w:w="19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3" w:type="dxa"/>
            <w:gridSpan w:val="1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18"/>
              </w:rPr>
              <w:t>Total goodwill and other intangible assets</w:t>
            </w:r>
            <w:r>
              <w:rPr>
                <w:color w:val="000000"/>
              </w:rPr>
              <w:t xml:space="preserve"> </w:t>
            </w:r>
          </w:p>
        </w:tc>
        <w:tc>
          <w:tcPr>
            <w:tcW w:w="29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1,250.5</w:t>
            </w:r>
            <w:r>
              <w:rPr>
                <w:color w:val="000000"/>
              </w:rPr>
              <w:t> </w:t>
            </w:r>
          </w:p>
        </w:tc>
        <w:tc>
          <w:tcPr>
            <w:tcW w:w="1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57.2</w:t>
            </w:r>
            <w:r>
              <w:rPr>
                <w:color w:val="000000"/>
              </w:rPr>
              <w:t> </w:t>
            </w:r>
          </w:p>
        </w:tc>
        <w:tc>
          <w:tcPr>
            <w:tcW w:w="2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9.6</w:t>
            </w:r>
            <w:r>
              <w:rPr>
                <w:color w:val="000000"/>
              </w:rPr>
              <w:t> </w:t>
            </w:r>
          </w:p>
        </w:tc>
        <w:tc>
          <w:tcPr>
            <w:tcW w:w="16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1,183.7</w:t>
            </w:r>
            <w:r>
              <w:rPr>
                <w:color w:val="000000"/>
              </w:rPr>
              <w:t> </w:t>
            </w:r>
          </w:p>
        </w:tc>
        <w:tc>
          <w:tcPr>
            <w:tcW w:w="1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18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 xml:space="preserve">Impairments, which represent inception-to-date amounts, relate to an Other Operating Business. </w:t>
      </w:r>
    </w:p>
    <w:p>
      <w:pPr>
        <w:pStyle w:val="TextBody"/>
        <w:bidi w:val="0"/>
        <w:spacing w:lineRule="auto" w:line="288" w:before="0" w:after="0"/>
        <w:ind w:left="0" w:right="0" w:hanging="180"/>
        <w:jc w:val="left"/>
        <w:rPr/>
      </w:pPr>
      <w:r>
        <w:rPr>
          <w:rFonts w:ascii="Times New Roman;serif" w:hAnsi="Times New Roman;serif"/>
          <w:b w:val="false"/>
          <w:color w:val="000000"/>
          <w:sz w:val="10"/>
        </w:rPr>
        <w:t xml:space="preserve">(2) </w:t>
      </w:r>
      <w:r>
        <w:rPr>
          <w:rFonts w:ascii="Times New Roman;serif" w:hAnsi="Times New Roman;serif"/>
          <w:b w:val="false"/>
          <w:color w:val="000000"/>
          <w:sz w:val="16"/>
        </w:rPr>
        <w:t xml:space="preserve">The relative fair values of goodwill and other intangible assets recognized in connection with the acquisitions of Basesix and Hawkeye Electric had not yet been finalized. All amounts were reflected as goodwill as of June 30, 2026. See </w:t>
      </w:r>
      <w:r>
        <w:rPr>
          <w:rFonts w:ascii="Times New Roman;serif" w:hAnsi="Times New Roman;serif"/>
          <w:b/>
          <w:color w:val="000000"/>
          <w:sz w:val="16"/>
        </w:rPr>
        <w:t>Note 2 — “Significant Transactions.”</w:t>
      </w:r>
      <w:r>
        <w:rPr>
          <w:color w:val="000000"/>
        </w:rPr>
        <w:t xml:space="preserve"> </w:t>
      </w:r>
    </w:p>
    <w:p>
      <w:pPr>
        <w:pStyle w:val="TextBody"/>
        <w:bidi w:val="0"/>
        <w:spacing w:before="0" w:after="0"/>
        <w:ind w:left="0" w:right="0" w:hanging="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617"/>
        <w:gridCol w:w="538"/>
        <w:gridCol w:w="383"/>
        <w:gridCol w:w="109"/>
        <w:gridCol w:w="109"/>
        <w:gridCol w:w="109"/>
        <w:gridCol w:w="493"/>
        <w:gridCol w:w="493"/>
        <w:gridCol w:w="495"/>
        <w:gridCol w:w="109"/>
        <w:gridCol w:w="109"/>
        <w:gridCol w:w="109"/>
        <w:gridCol w:w="288"/>
        <w:gridCol w:w="1046"/>
        <w:gridCol w:w="148"/>
        <w:gridCol w:w="109"/>
        <w:gridCol w:w="109"/>
        <w:gridCol w:w="109"/>
        <w:gridCol w:w="369"/>
        <w:gridCol w:w="895"/>
        <w:gridCol w:w="192"/>
        <w:gridCol w:w="109"/>
        <w:gridCol w:w="109"/>
        <w:gridCol w:w="109"/>
        <w:gridCol w:w="313"/>
        <w:gridCol w:w="604"/>
        <w:gridCol w:w="164"/>
        <w:gridCol w:w="109"/>
        <w:gridCol w:w="109"/>
        <w:gridCol w:w="109"/>
        <w:gridCol w:w="109"/>
        <w:gridCol w:w="109"/>
        <w:gridCol w:w="243"/>
        <w:gridCol w:w="884"/>
        <w:gridCol w:w="187"/>
      </w:tblGrid>
      <w:tr>
        <w:trPr/>
        <w:tc>
          <w:tcPr>
            <w:tcW w:w="617"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153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Millions</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Weighted Average Economic Life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9" w:type="dxa"/>
            <w:gridSpan w:val="1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423" w:type="dxa"/>
            <w:gridSpan w:val="4"/>
            <w:tcBorders/>
          </w:tcPr>
          <w:p>
            <w:pPr>
              <w:pStyle w:val="TableContents"/>
              <w:bidi w:val="0"/>
              <w:spacing w:before="0" w:after="283"/>
              <w:jc w:val="left"/>
              <w:rPr>
                <w:sz w:val="4"/>
                <w:szCs w:val="4"/>
              </w:rPr>
            </w:pPr>
            <w:r>
              <w:rPr>
                <w:sz w:val="4"/>
                <w:szCs w:val="4"/>
              </w:rPr>
            </w:r>
          </w:p>
        </w:tc>
      </w:tr>
      <w:tr>
        <w:trPr/>
        <w:tc>
          <w:tcPr>
            <w:tcW w:w="153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48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Acquisition Date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Impairments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Value</w:t>
            </w:r>
          </w:p>
        </w:tc>
      </w:tr>
      <w:tr>
        <w:trPr/>
        <w:tc>
          <w:tcPr>
            <w:tcW w:w="15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Goodwill: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0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Kudu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Distinguished </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396.7 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396.7 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WTM Partners </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goodwill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623.2 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614.1 </w:t>
            </w:r>
          </w:p>
        </w:tc>
        <w:tc>
          <w:tcPr>
            <w:tcW w:w="1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Ark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capacity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Kudu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i/>
                <w:color w:val="000000"/>
                <w:sz w:val="20"/>
              </w:rPr>
              <w:t xml:space="preserve">Distinguished </w:t>
            </w:r>
            <w:r>
              <w:rPr>
                <w:rFonts w:ascii="Times New Roman;serif" w:hAnsi="Times New Roman;serif"/>
                <w:b/>
                <w:i/>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Agency 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Subtotal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181.0 </w:t>
            </w:r>
          </w:p>
        </w:tc>
        <w:tc>
          <w:tcPr>
            <w:tcW w:w="1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i/>
                <w:color w:val="000000"/>
                <w:sz w:val="18"/>
              </w:rPr>
              <w:t xml:space="preserve">WTM Partners </w:t>
            </w:r>
            <w:r>
              <w:rPr>
                <w:rFonts w:ascii="Times New Roman;serif" w:hAnsi="Times New Roman;serif"/>
                <w:b/>
                <w:i/>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Trade names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Customer 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Subtotal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Other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r>
      <w:tr>
        <w:trPr/>
        <w:tc>
          <w:tcPr>
            <w:tcW w:w="15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Subtotal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445.5 </w:t>
            </w:r>
          </w:p>
        </w:tc>
        <w:tc>
          <w:tcPr>
            <w:tcW w:w="14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9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406.1 </w:t>
            </w:r>
          </w:p>
        </w:tc>
        <w:tc>
          <w:tcPr>
            <w:tcW w:w="18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6" w:type="dxa"/>
            <w:gridSpan w:val="9"/>
            <w:tcBorders>
              <w:bottom w:val="double" w:sz="8" w:space="0" w:color="000000"/>
            </w:tcBorders>
            <w:tcMar>
              <w:top w:w="0" w:type="dxa"/>
              <w:left w:w="0" w:type="dxa"/>
              <w:bottom w:w="3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Total goodwill and other intangible assets</w:t>
            </w:r>
            <w:r>
              <w:rPr>
                <w:color w:val="000000"/>
              </w:rPr>
              <w:t xml:space="preserve"> </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1,068.7 </w:t>
            </w:r>
          </w:p>
        </w:tc>
        <w:tc>
          <w:tcPr>
            <w:tcW w:w="1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9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1,020.2 </w:t>
            </w:r>
          </w:p>
        </w:tc>
        <w:tc>
          <w:tcPr>
            <w:tcW w:w="18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18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 xml:space="preserve">Impairments, which represent inception-to-date amounts, relate to an Other Operating Business. </w:t>
      </w:r>
    </w:p>
    <w:p>
      <w:pPr>
        <w:pStyle w:val="TextBody"/>
        <w:bidi w:val="0"/>
        <w:spacing w:lineRule="auto" w:line="288" w:before="0" w:after="0"/>
        <w:ind w:left="0" w:right="0" w:hanging="180"/>
        <w:jc w:val="left"/>
        <w:rPr/>
      </w:pPr>
      <w:r>
        <w:rPr>
          <w:rFonts w:ascii="Times New Roman;serif" w:hAnsi="Times New Roman;serif"/>
          <w:b w:val="false"/>
          <w:color w:val="000000"/>
          <w:sz w:val="10"/>
        </w:rPr>
        <w:t xml:space="preserve">(2) </w:t>
      </w:r>
      <w:r>
        <w:rPr>
          <w:rFonts w:ascii="Times New Roman;serif" w:hAnsi="Times New Roman;serif"/>
          <w:b w:val="false"/>
          <w:color w:val="000000"/>
          <w:sz w:val="16"/>
        </w:rPr>
        <w:t xml:space="preserve">The relative fair values of goodwill and other intangible assets recognized in connection with the acquisitions of Distinguished and Enterprise Solutions had not yet been finalized. See </w:t>
      </w:r>
      <w:r>
        <w:rPr>
          <w:rFonts w:ascii="Times New Roman;serif" w:hAnsi="Times New Roman;serif"/>
          <w:b/>
          <w:color w:val="000000"/>
          <w:sz w:val="16"/>
        </w:rPr>
        <w:t xml:space="preserve">Note 2 — “Significant Transactions.” </w:t>
      </w:r>
    </w:p>
    <w:p>
      <w:pPr>
        <w:pStyle w:val="TextBody"/>
        <w:bidi w:val="0"/>
        <w:spacing w:before="0" w:after="0"/>
        <w:ind w:left="0" w:right="0" w:hanging="180"/>
        <w:jc w:val="left"/>
        <w:rPr/>
      </w:pPr>
      <w:r>
        <w:rPr/>
      </w:r>
    </w:p>
    <w:p>
      <w:pPr>
        <w:pStyle w:val="TextBody"/>
        <w:bidi w:val="0"/>
        <w:spacing w:before="0" w:after="0"/>
        <w:ind w:left="0" w:right="0" w:hanging="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 xml:space="preserve">Rollforward of Goodwill and Other Intangible Assets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the change in goodwill and other intangible assets for the three and six months ended June 30, 2026 and 2025:</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19"/>
        <w:gridCol w:w="390"/>
        <w:gridCol w:w="393"/>
        <w:gridCol w:w="109"/>
        <w:gridCol w:w="109"/>
        <w:gridCol w:w="109"/>
        <w:gridCol w:w="211"/>
        <w:gridCol w:w="631"/>
        <w:gridCol w:w="109"/>
        <w:gridCol w:w="109"/>
        <w:gridCol w:w="109"/>
        <w:gridCol w:w="109"/>
        <w:gridCol w:w="240"/>
        <w:gridCol w:w="720"/>
        <w:gridCol w:w="124"/>
        <w:gridCol w:w="109"/>
        <w:gridCol w:w="109"/>
        <w:gridCol w:w="109"/>
        <w:gridCol w:w="276"/>
        <w:gridCol w:w="1024"/>
        <w:gridCol w:w="142"/>
        <w:gridCol w:w="109"/>
        <w:gridCol w:w="109"/>
        <w:gridCol w:w="109"/>
        <w:gridCol w:w="211"/>
        <w:gridCol w:w="616"/>
        <w:gridCol w:w="109"/>
        <w:gridCol w:w="109"/>
        <w:gridCol w:w="109"/>
        <w:gridCol w:w="109"/>
        <w:gridCol w:w="241"/>
        <w:gridCol w:w="706"/>
        <w:gridCol w:w="124"/>
        <w:gridCol w:w="109"/>
        <w:gridCol w:w="109"/>
        <w:gridCol w:w="109"/>
        <w:gridCol w:w="290"/>
        <w:gridCol w:w="847"/>
        <w:gridCol w:w="220"/>
      </w:tblGrid>
      <w:tr>
        <w:trPr/>
        <w:tc>
          <w:tcPr>
            <w:tcW w:w="61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1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6" w:type="dxa"/>
            <w:gridSpan w:val="3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1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Goodwill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Intangible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Goodwill and Other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Goodwill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Intangible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Goodwill and Other Intangible Assets</w:t>
            </w:r>
          </w:p>
        </w:tc>
      </w:tr>
      <w:tr>
        <w:trPr/>
        <w:tc>
          <w:tcPr>
            <w:tcW w:w="14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615.3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396.4</w:t>
            </w:r>
            <w:r>
              <w:rPr>
                <w:color w:val="000000"/>
              </w:rPr>
              <w:t>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1,011.7</w:t>
            </w:r>
            <w:r>
              <w:rPr>
                <w:color w:val="000000"/>
              </w:rPr>
              <w:t> </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275.9 </w:t>
            </w:r>
          </w:p>
        </w:tc>
        <w:tc>
          <w:tcPr>
            <w:tcW w:w="12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715.1 </w:t>
            </w:r>
          </w:p>
        </w:tc>
        <w:tc>
          <w:tcPr>
            <w:tcW w:w="2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Acquisition of businesses </w:t>
            </w:r>
            <w:r>
              <w:rPr>
                <w:rFonts w:ascii="Times New Roman;serif" w:hAnsi="Times New Roman;serif"/>
                <w:b w:val="false"/>
                <w:color w:val="000000"/>
                <w:sz w:val="10"/>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180.6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180.6</w:t>
            </w: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1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(8.6)</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(8.6)</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1402"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795.9</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387.8</w:t>
            </w:r>
            <w:r>
              <w:rPr>
                <w:color w:val="000000"/>
              </w:rPr>
              <w:t> </w:t>
            </w:r>
          </w:p>
        </w:tc>
        <w:tc>
          <w:tcPr>
            <w:tcW w:w="1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1,183.7</w:t>
            </w:r>
            <w:r>
              <w:rPr>
                <w:color w:val="000000"/>
              </w:rPr>
              <w:t> </w:t>
            </w:r>
          </w:p>
        </w:tc>
        <w:tc>
          <w:tcPr>
            <w:tcW w:w="1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270.8 </w:t>
            </w:r>
          </w:p>
        </w:tc>
        <w:tc>
          <w:tcPr>
            <w:tcW w:w="1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805.4 </w:t>
            </w:r>
          </w:p>
        </w:tc>
        <w:tc>
          <w:tcPr>
            <w:tcW w:w="22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18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 xml:space="preserve">During the three months ended June 30, 2026, amounts relate to the acquisitions of Basesix and Hawkeye Electric, for which the relative fair values of goodwill and other intangible assets had not yet been finalized. All amounts were reflected as goodwill as of June 30, 2026. See </w:t>
      </w:r>
      <w:r>
        <w:rPr>
          <w:rFonts w:ascii="Times New Roman;serif" w:hAnsi="Times New Roman;serif"/>
          <w:b/>
          <w:color w:val="000000"/>
          <w:sz w:val="16"/>
        </w:rPr>
        <w:t>Note 2 — “Significant Transactions.”</w:t>
      </w:r>
    </w:p>
    <w:p>
      <w:pPr>
        <w:pStyle w:val="TextBody"/>
        <w:bidi w:val="0"/>
        <w:spacing w:lineRule="auto" w:line="288" w:before="0" w:after="0"/>
        <w:ind w:left="0" w:right="0" w:hanging="18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 xml:space="preserve">During the three months ended June 30, 2025, amounts relate to the acquisition of Enterprise Solutions, for which the relative fair values of goodwill and other intangible assets had not yet been finalized. All amounts were reflected as goodwill as of June 30, 2025. See </w:t>
      </w:r>
      <w:r>
        <w:rPr>
          <w:rFonts w:ascii="Times New Roman;serif" w:hAnsi="Times New Roman;serif"/>
          <w:b/>
          <w:color w:val="000000"/>
          <w:sz w:val="16"/>
        </w:rPr>
        <w:t>Note 2 — “Significant Transactions.”</w:t>
      </w:r>
    </w:p>
    <w:tbl>
      <w:tblPr>
        <w:tblW w:w="10205" w:type="dxa"/>
        <w:jc w:val="left"/>
        <w:tblInd w:w="0" w:type="dxa"/>
        <w:tblLayout w:type="fixed"/>
        <w:tblCellMar>
          <w:top w:w="28" w:type="dxa"/>
          <w:left w:w="28" w:type="dxa"/>
          <w:bottom w:w="28" w:type="dxa"/>
          <w:right w:w="28" w:type="dxa"/>
        </w:tblCellMar>
      </w:tblPr>
      <w:tblGrid>
        <w:gridCol w:w="655"/>
        <w:gridCol w:w="407"/>
        <w:gridCol w:w="411"/>
        <w:gridCol w:w="109"/>
        <w:gridCol w:w="109"/>
        <w:gridCol w:w="109"/>
        <w:gridCol w:w="211"/>
        <w:gridCol w:w="631"/>
        <w:gridCol w:w="109"/>
        <w:gridCol w:w="109"/>
        <w:gridCol w:w="109"/>
        <w:gridCol w:w="109"/>
        <w:gridCol w:w="238"/>
        <w:gridCol w:w="714"/>
        <w:gridCol w:w="123"/>
        <w:gridCol w:w="109"/>
        <w:gridCol w:w="109"/>
        <w:gridCol w:w="109"/>
        <w:gridCol w:w="271"/>
        <w:gridCol w:w="1006"/>
        <w:gridCol w:w="140"/>
        <w:gridCol w:w="109"/>
        <w:gridCol w:w="109"/>
        <w:gridCol w:w="109"/>
        <w:gridCol w:w="211"/>
        <w:gridCol w:w="616"/>
        <w:gridCol w:w="109"/>
        <w:gridCol w:w="109"/>
        <w:gridCol w:w="109"/>
        <w:gridCol w:w="109"/>
        <w:gridCol w:w="239"/>
        <w:gridCol w:w="699"/>
        <w:gridCol w:w="123"/>
        <w:gridCol w:w="109"/>
        <w:gridCol w:w="109"/>
        <w:gridCol w:w="109"/>
        <w:gridCol w:w="284"/>
        <w:gridCol w:w="830"/>
        <w:gridCol w:w="216"/>
      </w:tblGrid>
      <w:tr>
        <w:trPr/>
        <w:tc>
          <w:tcPr>
            <w:tcW w:w="65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14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5" w:type="dxa"/>
            <w:gridSpan w:val="3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Goodwill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Intangible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Goodwill and Other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Goodwill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Intangible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Goodwill and Other Intangible Assets</w:t>
            </w:r>
          </w:p>
        </w:tc>
      </w:tr>
      <w:tr>
        <w:trPr/>
        <w:tc>
          <w:tcPr>
            <w:tcW w:w="14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614.1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406.1</w:t>
            </w:r>
            <w:r>
              <w:rPr>
                <w:color w:val="000000"/>
              </w:rPr>
              <w:t>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1,020.2</w:t>
            </w:r>
            <w:r>
              <w:rPr>
                <w:color w:val="000000"/>
              </w:rPr>
              <w:t> </w:t>
            </w:r>
          </w:p>
        </w:tc>
        <w:tc>
          <w:tcPr>
            <w:tcW w:w="1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720.3 </w:t>
            </w:r>
          </w:p>
        </w:tc>
        <w:tc>
          <w:tcPr>
            <w:tcW w:w="2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Acquisitions of businesses </w:t>
            </w:r>
            <w:r>
              <w:rPr>
                <w:rFonts w:ascii="Times New Roman;serif" w:hAnsi="Times New Roman;serif"/>
                <w:b w:val="false"/>
                <w:color w:val="000000"/>
                <w:sz w:val="10"/>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180.6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180.6</w:t>
            </w: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147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Measurement period adjustments </w:t>
            </w:r>
            <w:r>
              <w:rPr>
                <w:rFonts w:ascii="Times New Roman;serif" w:hAnsi="Times New Roman;serif"/>
                <w:b w:val="false"/>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w:t>
            </w: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14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(18.3)</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(18.3)</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14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0" w:type="dxa"/>
            <w:gridSpan w:val="3"/>
            <w:tcBorders/>
            <w:vAlign w:val="center"/>
          </w:tcPr>
          <w:p>
            <w:pPr>
              <w:pStyle w:val="TableContents"/>
              <w:bidi w:val="0"/>
              <w:spacing w:before="0" w:after="283"/>
              <w:jc w:val="left"/>
              <w:rPr>
                <w:sz w:val="4"/>
                <w:szCs w:val="4"/>
              </w:rPr>
            </w:pPr>
            <w:r>
              <w:rPr>
                <w:sz w:val="4"/>
                <w:szCs w:val="4"/>
              </w:rPr>
            </w:r>
          </w:p>
        </w:tc>
      </w:tr>
      <w:tr>
        <w:trPr/>
        <w:tc>
          <w:tcPr>
            <w:tcW w:w="1473"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795.9</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387.8</w:t>
            </w:r>
            <w:r>
              <w:rPr>
                <w:color w:val="000000"/>
              </w:rPr>
              <w:t> </w:t>
            </w:r>
          </w:p>
        </w:tc>
        <w:tc>
          <w:tcPr>
            <w:tcW w:w="1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1,183.7</w:t>
            </w:r>
            <w:r>
              <w:rPr>
                <w:color w:val="000000"/>
              </w:rPr>
              <w:t> </w:t>
            </w:r>
          </w:p>
        </w:tc>
        <w:tc>
          <w:tcPr>
            <w:tcW w:w="1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270.8 </w:t>
            </w:r>
          </w:p>
        </w:tc>
        <w:tc>
          <w:tcPr>
            <w:tcW w:w="1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805.4 </w:t>
            </w:r>
          </w:p>
        </w:tc>
        <w:tc>
          <w:tcPr>
            <w:tcW w:w="2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18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 xml:space="preserve">During the six months ended June 30, 2026, amounts relate to the acquisitions of Basesix and Hawkeye Electric, for which the relative fair values of goodwill and other intangible assets had not yet been finalized. All amounts were reflected as goodwill as of June 30, 2026. See </w:t>
      </w:r>
      <w:r>
        <w:rPr>
          <w:rFonts w:ascii="Times New Roman;serif" w:hAnsi="Times New Roman;serif"/>
          <w:b/>
          <w:color w:val="000000"/>
          <w:sz w:val="16"/>
        </w:rPr>
        <w:t>Note 2 — “Significant Transactions.”</w:t>
      </w:r>
    </w:p>
    <w:p>
      <w:pPr>
        <w:pStyle w:val="TextBody"/>
        <w:bidi w:val="0"/>
        <w:spacing w:lineRule="auto" w:line="288" w:before="0" w:after="0"/>
        <w:ind w:left="0" w:right="0" w:hanging="18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 xml:space="preserve">During the six months ended June 30, 2025, amounts relate to the acquisition of Enterprise Solutions, for which the relative fair values of goodwill and other intangible assets had not yet been finalized. All amounts were reflected as goodwill as of June 30, 2025. See </w:t>
      </w:r>
      <w:r>
        <w:rPr>
          <w:rFonts w:ascii="Times New Roman;serif" w:hAnsi="Times New Roman;serif"/>
          <w:b/>
          <w:color w:val="000000"/>
          <w:sz w:val="16"/>
        </w:rPr>
        <w:t>Note 2 — “Significant Transactions.”</w:t>
      </w:r>
    </w:p>
    <w:p>
      <w:pPr>
        <w:pStyle w:val="TextBody"/>
        <w:bidi w:val="0"/>
        <w:spacing w:lineRule="auto" w:line="288" w:before="0" w:after="0"/>
        <w:ind w:left="0" w:right="0" w:hanging="180"/>
        <w:jc w:val="left"/>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Measurement period adjustments relate to updated information about acquisition date fair values of assets acquired and liabilities assumed. Adjustments relate to the Distinguished Transaction.</w:t>
      </w:r>
    </w:p>
    <w:p>
      <w:pPr>
        <w:pStyle w:val="TextBody"/>
        <w:bidi w:val="0"/>
        <w:spacing w:before="60" w:after="283"/>
        <w:ind w:left="0" w:right="0" w:hanging="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June 30, 2026 and 2025, White Mountains did not recognize any impairments to goodwill and other intangible assets.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Note 5.  Loss and Loss Adjustment Expense Reserves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Ark/WM Outrigger</w:t>
      </w:r>
    </w:p>
    <w:p>
      <w:pPr>
        <w:pStyle w:val="TextBody"/>
        <w:bidi w:val="0"/>
        <w:spacing w:before="0" w:after="0"/>
        <w:jc w:val="left"/>
        <w:rPr/>
      </w:pPr>
      <w:r>
        <w:rPr/>
      </w:r>
    </w:p>
    <w:p>
      <w:pPr>
        <w:pStyle w:val="TextBody"/>
        <w:bidi w:val="0"/>
        <w:spacing w:lineRule="auto" w:line="288" w:before="0" w:after="60"/>
        <w:jc w:val="left"/>
        <w:rPr/>
      </w:pPr>
      <w:r>
        <w:rPr>
          <w:rFonts w:ascii="Times New Roman;serif" w:hAnsi="Times New Roman;serif"/>
          <w:b w:val="false"/>
          <w:color w:val="000000"/>
          <w:sz w:val="20"/>
        </w:rPr>
        <w:t>The following table summarizes the loss and loss adjustment expense (“LAE”) reserve activity of the Ark/WM Outrigger segment</w:t>
      </w:r>
      <w:r>
        <w:rPr>
          <w:color w:val="000000"/>
        </w:rPr>
        <w:t xml:space="preserve"> </w:t>
      </w:r>
      <w:r>
        <w:rPr>
          <w:rFonts w:ascii="Times New Roman;serif" w:hAnsi="Times New Roman;serif"/>
          <w:b w:val="false"/>
          <w:color w:val="000000"/>
          <w:sz w:val="20"/>
        </w:rPr>
        <w:t xml:space="preserve">for the three and six months ended June 30, 2026 and 2025: </w:t>
      </w:r>
    </w:p>
    <w:tbl>
      <w:tblPr>
        <w:tblW w:w="10205" w:type="dxa"/>
        <w:jc w:val="center"/>
        <w:tblInd w:w="0" w:type="dxa"/>
        <w:tblLayout w:type="fixed"/>
        <w:tblCellMar>
          <w:top w:w="28" w:type="dxa"/>
          <w:left w:w="28" w:type="dxa"/>
          <w:bottom w:w="28" w:type="dxa"/>
          <w:right w:w="28" w:type="dxa"/>
        </w:tblCellMar>
      </w:tblPr>
      <w:tblGrid>
        <w:gridCol w:w="1623"/>
        <w:gridCol w:w="1417"/>
        <w:gridCol w:w="1436"/>
        <w:gridCol w:w="109"/>
        <w:gridCol w:w="109"/>
        <w:gridCol w:w="109"/>
        <w:gridCol w:w="211"/>
        <w:gridCol w:w="781"/>
        <w:gridCol w:w="109"/>
        <w:gridCol w:w="109"/>
        <w:gridCol w:w="109"/>
        <w:gridCol w:w="109"/>
        <w:gridCol w:w="211"/>
        <w:gridCol w:w="766"/>
        <w:gridCol w:w="109"/>
        <w:gridCol w:w="109"/>
        <w:gridCol w:w="109"/>
        <w:gridCol w:w="109"/>
        <w:gridCol w:w="211"/>
        <w:gridCol w:w="781"/>
        <w:gridCol w:w="109"/>
        <w:gridCol w:w="109"/>
        <w:gridCol w:w="109"/>
        <w:gridCol w:w="109"/>
        <w:gridCol w:w="211"/>
        <w:gridCol w:w="766"/>
        <w:gridCol w:w="156"/>
      </w:tblGrid>
      <w:tr>
        <w:trPr/>
        <w:tc>
          <w:tcPr>
            <w:tcW w:w="1623"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4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beginning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2,585.6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2,253.9 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2,481.0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2,127.5 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beginning reinsurance recoverable on unpaid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(528.6)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(508.3)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(434.4)</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and LAE 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2,057.0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1,773.3 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1,972.7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1,693.1 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and LAE incurred relating 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year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204.1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429.1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467.4 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year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(46.8)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incurred loss and LAE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175.6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382.3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397.5 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and LAE paid relating 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year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(46.9)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year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(249.9)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paid loss and LAE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(177.9)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(296.8)</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(292.5)</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44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Foreign currency translation and other adjustments </w:t>
              <w:br/>
              <w:t>   to loss and LAE reserves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ending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2,053.8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2,053.8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1,820.0 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ending reinsurance recoverable on unpaid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570.0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570.0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468.5 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6"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ending balance</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2,623.8</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2,623.8</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2,288.5 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the Ark/WM Outrigger segment experienced $28.5 million and $46.8 million of net favorable prior year loss reserve development, driven primarily by favorable development in the property and specialty lines of business. For the three and six months ended June 30, 2025, the Ark/WM Outrigger segment experienced $17.1 million and $69.9 million of net favorable prior year loss reserve development, driven primarily by favorable development in the property, marine &amp; energy and specialty lines of business, partially offset by unfavorable development related to aviation losses from the conflict in Ukraine.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HG Global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HG Re did not have any outstanding loss and LAE reserves. For the three and six months ended June 30, 2026 and 2025, HG Re did not recognize any incurred loss and LAE.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Note 6.  Third-Party Reinsurance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Ark/WM Outrigger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Ark may seek to limit losses that arise from catastrophes or other events by reinsuring certain risks with third-party reinsurers. Ark remains liable for risks reinsured in the event that the reinsurer does not honor its obligations under reinsurance contracts.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effects of reinsurance on written and earned premiums and loss and LAE for the Ark/WM Outrigger segment for the three and six months ended June 30, 2026 and 2025:</w:t>
      </w:r>
    </w:p>
    <w:tbl>
      <w:tblPr>
        <w:tblW w:w="7607" w:type="dxa"/>
        <w:jc w:val="center"/>
        <w:tblInd w:w="0" w:type="dxa"/>
        <w:tblLayout w:type="fixed"/>
        <w:tblCellMar>
          <w:top w:w="28" w:type="dxa"/>
          <w:left w:w="28" w:type="dxa"/>
          <w:bottom w:w="28" w:type="dxa"/>
          <w:right w:w="28" w:type="dxa"/>
        </w:tblCellMar>
      </w:tblPr>
      <w:tblGrid>
        <w:gridCol w:w="732"/>
        <w:gridCol w:w="643"/>
        <w:gridCol w:w="650"/>
        <w:gridCol w:w="109"/>
        <w:gridCol w:w="109"/>
        <w:gridCol w:w="109"/>
        <w:gridCol w:w="215"/>
        <w:gridCol w:w="645"/>
        <w:gridCol w:w="111"/>
        <w:gridCol w:w="111"/>
        <w:gridCol w:w="111"/>
        <w:gridCol w:w="111"/>
        <w:gridCol w:w="215"/>
        <w:gridCol w:w="630"/>
        <w:gridCol w:w="111"/>
        <w:gridCol w:w="109"/>
        <w:gridCol w:w="109"/>
        <w:gridCol w:w="109"/>
        <w:gridCol w:w="211"/>
        <w:gridCol w:w="781"/>
        <w:gridCol w:w="109"/>
        <w:gridCol w:w="109"/>
        <w:gridCol w:w="109"/>
        <w:gridCol w:w="109"/>
        <w:gridCol w:w="211"/>
        <w:gridCol w:w="766"/>
        <w:gridCol w:w="109"/>
        <w:gridCol w:w="154"/>
      </w:tblGrid>
      <w:tr>
        <w:trPr/>
        <w:tc>
          <w:tcPr>
            <w:tcW w:w="732"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373.6</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356.6 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730.9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403.9</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458.6 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1,137.5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written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777.5</w:t>
            </w:r>
            <w:r>
              <w:rPr>
                <w:color w:val="000000"/>
              </w:rPr>
              <w:t>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815.2 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1,868.4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Ceded</w:t>
            </w:r>
            <w:r>
              <w:rPr>
                <w:color w:val="000000"/>
              </w:rPr>
              <w:t xml:space="preserve"> </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(240.1)</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(740.9)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written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537.4</w:t>
            </w:r>
            <w:r>
              <w:rPr>
                <w:color w:val="000000"/>
              </w:rPr>
              <w:t>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578.6 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1,127.5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Earned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288.2</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260.1 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554.9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242.3</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479.1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earned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530.5</w:t>
            </w:r>
            <w:r>
              <w:rPr>
                <w:color w:val="000000"/>
              </w:rPr>
              <w:t>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469.1 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1,034.0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Ceded</w:t>
            </w:r>
            <w:r>
              <w:rPr>
                <w:color w:val="000000"/>
              </w:rPr>
              <w:t xml:space="preserve"> </w:t>
            </w:r>
            <w:r>
              <w:rPr>
                <w:rFonts w:ascii="Times New Roman;serif" w:hAnsi="Times New Roman;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(154.3)</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(284.0)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earned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376.2</w:t>
            </w:r>
            <w:r>
              <w:rPr>
                <w:color w:val="000000"/>
              </w:rPr>
              <w:t>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364.2 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750.0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and LAE: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354.8</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618.8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Ceded</w:t>
            </w:r>
            <w:r>
              <w:rPr>
                <w:color w:val="000000"/>
              </w:rPr>
              <w:t xml:space="preserve"> </w:t>
            </w:r>
            <w:r>
              <w:rPr>
                <w:rFonts w:ascii="Times New Roman;serif" w:hAnsi="Times New Roman;serif"/>
                <w:b w:val="false"/>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(179.2)</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and LAE</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175.6</w:t>
            </w:r>
            <w:r>
              <w:rPr>
                <w:color w:val="000000"/>
              </w:rPr>
              <w:t> </w:t>
            </w:r>
          </w:p>
        </w:tc>
        <w:tc>
          <w:tcPr>
            <w:tcW w:w="1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164.0 </w:t>
            </w:r>
          </w:p>
        </w:tc>
        <w:tc>
          <w:tcPr>
            <w:tcW w:w="1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382.3</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397.5 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18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 xml:space="preserve">The three months ended June 30, 2026 and 2025 exclude written premiums of $(0.4) and $42.6, and the six months ended June 30, 2026 and 2025 exclude written premiums of $(0.4) and $80.1 ceded by Ark to WM Outrigger Re, which eliminate in White Mountains’s consolidated financial statements. </w:t>
      </w:r>
    </w:p>
    <w:p>
      <w:pPr>
        <w:pStyle w:val="TextBody"/>
        <w:bidi w:val="0"/>
        <w:spacing w:lineRule="auto" w:line="288" w:before="0" w:after="0"/>
        <w:ind w:left="0" w:right="0" w:hanging="180"/>
        <w:jc w:val="left"/>
        <w:rPr/>
      </w:pPr>
      <w:r>
        <w:rPr>
          <w:rFonts w:ascii="Times New Roman;serif" w:hAnsi="Times New Roman;serif"/>
          <w:b w:val="false"/>
          <w:color w:val="000000"/>
          <w:sz w:val="10"/>
        </w:rPr>
        <w:t xml:space="preserve">(2) </w:t>
      </w:r>
      <w:r>
        <w:rPr>
          <w:rFonts w:ascii="Times New Roman;serif" w:hAnsi="Times New Roman;serif"/>
          <w:b w:val="false"/>
          <w:color w:val="000000"/>
          <w:sz w:val="16"/>
        </w:rPr>
        <w:t xml:space="preserve">The three months ended June 30, 2026 and 2025 exclude earned premiums of $0.8 and $7.1, and the six months ended June 30, 2026 and 2025 exclude earned premiums of $3.5 and $19.1 ceded by Ark to WM Outrigger Re, which eliminate in White Mountains’s consolidated financial statements. </w:t>
      </w:r>
    </w:p>
    <w:p>
      <w:pPr>
        <w:pStyle w:val="TextBody"/>
        <w:bidi w:val="0"/>
        <w:spacing w:lineRule="auto" w:line="288" w:before="0" w:after="0"/>
        <w:ind w:left="0" w:right="0" w:hanging="180"/>
        <w:jc w:val="left"/>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The three months ended June 30, 2026 and 2025 exclude loss and LAE of $(0.1) and $1.7, and the six months ended June 30, 2026 and 2025 exclude $0.2</w:t>
      </w:r>
      <w:r>
        <w:rPr>
          <w:color w:val="000000"/>
        </w:rPr>
        <w:t xml:space="preserve"> </w:t>
      </w:r>
      <w:r>
        <w:rPr>
          <w:rFonts w:ascii="Times New Roman;serif" w:hAnsi="Times New Roman;serif"/>
          <w:b w:val="false"/>
          <w:color w:val="000000"/>
          <w:sz w:val="16"/>
        </w:rPr>
        <w:t xml:space="preserve">and $21.9 ceded by Ark to WM Outrigger Re, which eliminate in White Mountains’s consolidated financial statements. </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Ark/WM Outrigger segment’s reinsurance recoverables as of June 30, 2026 and December 31, 2025: </w:t>
      </w:r>
    </w:p>
    <w:tbl>
      <w:tblPr>
        <w:tblW w:w="7072" w:type="dxa"/>
        <w:jc w:val="center"/>
        <w:tblInd w:w="0" w:type="dxa"/>
        <w:tblLayout w:type="fixed"/>
        <w:tblCellMar>
          <w:top w:w="28" w:type="dxa"/>
          <w:left w:w="28" w:type="dxa"/>
          <w:bottom w:w="28" w:type="dxa"/>
          <w:right w:w="28" w:type="dxa"/>
        </w:tblCellMar>
      </w:tblPr>
      <w:tblGrid>
        <w:gridCol w:w="1354"/>
        <w:gridCol w:w="1193"/>
        <w:gridCol w:w="1203"/>
        <w:gridCol w:w="109"/>
        <w:gridCol w:w="109"/>
        <w:gridCol w:w="109"/>
        <w:gridCol w:w="215"/>
        <w:gridCol w:w="798"/>
        <w:gridCol w:w="111"/>
        <w:gridCol w:w="109"/>
        <w:gridCol w:w="109"/>
        <w:gridCol w:w="109"/>
        <w:gridCol w:w="332"/>
        <w:gridCol w:w="970"/>
        <w:gridCol w:w="242"/>
      </w:tblGrid>
      <w:tr>
        <w:trPr/>
        <w:tc>
          <w:tcPr>
            <w:tcW w:w="1354"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7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 xml:space="preserve">Reinsurance recoverables on unpaid losses </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570.0</w:t>
            </w:r>
            <w:r>
              <w:rPr>
                <w:color w:val="000000"/>
              </w:rPr>
              <w:t>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508.3 </w:t>
            </w:r>
          </w:p>
        </w:tc>
        <w:tc>
          <w:tcPr>
            <w:tcW w:w="2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 xml:space="preserve">Reinsurance recoverables on paid losses </w:t>
            </w:r>
            <w:r>
              <w:rPr>
                <w:rFonts w:ascii="Times New Roman;serif" w:hAnsi="Times New Roman;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157.0</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 xml:space="preserve">Ceded unearned premiums </w:t>
            </w:r>
            <w:r>
              <w:rPr>
                <w:rFonts w:ascii="Times New Roman;serif" w:hAnsi="Times New Roman;serif"/>
                <w:b w:val="false"/>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667.0</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210.2 </w:t>
            </w:r>
          </w:p>
        </w:tc>
        <w:tc>
          <w:tcPr>
            <w:tcW w:w="2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68" w:before="0" w:after="0"/>
              <w:ind w:left="0" w:right="0" w:firstLine="225"/>
              <w:jc w:val="left"/>
              <w:rPr>
                <w:rFonts w:ascii="Times New Roman;serif" w:hAnsi="Times New Roman;serif"/>
                <w:b w:val="false"/>
                <w:color w:val="000000"/>
                <w:sz w:val="20"/>
              </w:rPr>
            </w:pPr>
            <w:r>
              <w:rPr>
                <w:rFonts w:ascii="Times New Roman;serif" w:hAnsi="Times New Roman;serif"/>
                <w:b w:val="false"/>
                <w:color w:val="000000"/>
                <w:sz w:val="20"/>
              </w:rPr>
              <w:t>Reinsurance recoverables</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1,394.0</w:t>
            </w:r>
            <w:r>
              <w:rPr>
                <w:color w:val="000000"/>
              </w:rPr>
              <w:t> </w:t>
            </w:r>
          </w:p>
        </w:tc>
        <w:tc>
          <w:tcPr>
            <w:tcW w:w="1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836.1 </w:t>
            </w:r>
          </w:p>
        </w:tc>
        <w:tc>
          <w:tcPr>
            <w:tcW w:w="2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18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The reinsurance recoverables on unpaid losses exclude $25.0 and $29.5 ceded by Ark to WM Outrigger Re as of June 30, 2026 and December 31, 2025, which eliminate in White Mountains’s consolidated financial statements.</w:t>
      </w:r>
    </w:p>
    <w:p>
      <w:pPr>
        <w:pStyle w:val="TextBody"/>
        <w:bidi w:val="0"/>
        <w:spacing w:lineRule="auto" w:line="288" w:before="0" w:after="0"/>
        <w:ind w:left="0" w:right="0" w:hanging="18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The reinsurance recoverables on paid losses exclude $2.6 and $5.2 ceded by Ark to WM Outrigger Re as of June 30, 2026 and December 31, 2025, which eliminate in White Mountains’s consolidated financial statements.</w:t>
      </w:r>
    </w:p>
    <w:p>
      <w:pPr>
        <w:pStyle w:val="TextBody"/>
        <w:bidi w:val="0"/>
        <w:spacing w:lineRule="auto" w:line="288" w:before="0" w:after="0"/>
        <w:ind w:left="0" w:right="0" w:hanging="180"/>
        <w:jc w:val="left"/>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The ceded unearned premiums exclude $0.0 and $3.9 ceded by Ark to WM Outrigger Re as of June 30, 2026 and December 31, 2025, which eliminate in White Mountains’s consolidated financial statements.</w:t>
      </w:r>
    </w:p>
    <w:p>
      <w:pPr>
        <w:pStyle w:val="TextBody"/>
        <w:bidi w:val="0"/>
        <w:spacing w:before="0" w:after="0"/>
        <w:ind w:left="0" w:right="0" w:hanging="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reinsurance contracts do not relieve Ark of its obligation to its policyholders, Ark seeks to reduce the credit risk associated with reinsurance balances by avoiding over-reliance on specific reinsurers through the application of concentration limits and thresholds. Ark is selective with its reinsurers, placing reinsurance with only those having a strong financial condition. Ark monitors the financial strength of its reinsurers on an ongoing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Ark/WM Outrigger segment’s gross and net reinsurance recoverables by the reinsurers’ A.M. Best Company, Inc (“A.M. Best”) ratings as of June 30, 2026:</w:t>
      </w:r>
    </w:p>
    <w:tbl>
      <w:tblPr>
        <w:tblW w:w="7712" w:type="dxa"/>
        <w:jc w:val="center"/>
        <w:tblInd w:w="0" w:type="dxa"/>
        <w:tblLayout w:type="fixed"/>
        <w:tblCellMar>
          <w:top w:w="28" w:type="dxa"/>
          <w:left w:w="28" w:type="dxa"/>
          <w:bottom w:w="28" w:type="dxa"/>
          <w:right w:w="28" w:type="dxa"/>
        </w:tblCellMar>
      </w:tblPr>
      <w:tblGrid>
        <w:gridCol w:w="884"/>
        <w:gridCol w:w="779"/>
        <w:gridCol w:w="782"/>
        <w:gridCol w:w="109"/>
        <w:gridCol w:w="109"/>
        <w:gridCol w:w="109"/>
        <w:gridCol w:w="211"/>
        <w:gridCol w:w="631"/>
        <w:gridCol w:w="109"/>
        <w:gridCol w:w="109"/>
        <w:gridCol w:w="109"/>
        <w:gridCol w:w="109"/>
        <w:gridCol w:w="211"/>
        <w:gridCol w:w="526"/>
        <w:gridCol w:w="109"/>
        <w:gridCol w:w="109"/>
        <w:gridCol w:w="109"/>
        <w:gridCol w:w="109"/>
        <w:gridCol w:w="211"/>
        <w:gridCol w:w="631"/>
        <w:gridCol w:w="109"/>
        <w:gridCol w:w="109"/>
        <w:gridCol w:w="109"/>
        <w:gridCol w:w="109"/>
        <w:gridCol w:w="314"/>
        <w:gridCol w:w="317"/>
        <w:gridCol w:w="580"/>
      </w:tblGrid>
      <w:tr>
        <w:trPr/>
        <w:tc>
          <w:tcPr>
            <w:tcW w:w="884"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A.M. Best Rating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Collateral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r>
      <w:tr>
        <w:trPr/>
        <w:tc>
          <w:tcPr>
            <w:tcW w:w="2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 or better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68.6 </w:t>
            </w:r>
          </w:p>
        </w:tc>
        <w:tc>
          <w:tcPr>
            <w:tcW w:w="5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 to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5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 or lower and not rated </w:t>
            </w:r>
            <w:r>
              <w:rPr>
                <w:rFonts w:ascii="Times New Roman;serif" w:hAnsi="Times New Roman;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5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727.0</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45.3</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681.7</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100.0</w:t>
            </w:r>
            <w:r>
              <w:rPr>
                <w:color w:val="000000"/>
              </w:rPr>
              <w:t> </w:t>
            </w:r>
          </w:p>
        </w:tc>
        <w:tc>
          <w:tcPr>
            <w:tcW w:w="5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60" w:after="283"/>
        <w:ind w:left="0" w:right="0" w:hanging="18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A.M. Best financial strength ratings as detailed above are: “A+ or better” (Superior) “A- to A” (Excellent), “B++” (Good).</w:t>
      </w:r>
    </w:p>
    <w:p>
      <w:pPr>
        <w:pStyle w:val="TextBody"/>
        <w:bidi w:val="0"/>
        <w:spacing w:lineRule="auto" w:line="288" w:before="0" w:after="0"/>
        <w:ind w:left="0" w:right="0" w:hanging="18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 xml:space="preserve">Excludes $27.6 ceded by Ark to WM Outrigger Re as of June 30, 2026, which eliminates in White Mountains’s consolidated financial statements.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pPr>
      <w:r>
        <w:rPr>
          <w:rFonts w:ascii="Times New Roman;serif" w:hAnsi="Times New Roman;serif"/>
          <w:b/>
          <w:color w:val="000000"/>
          <w:sz w:val="20"/>
          <w:u w:val="single"/>
        </w:rPr>
        <w:t>Note 7.  Debt</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White Mountains’s debt outstanding as of June 30, 2026 and December 31, 2025: </w:t>
      </w:r>
    </w:p>
    <w:tbl>
      <w:tblPr>
        <w:tblW w:w="9567" w:type="dxa"/>
        <w:jc w:val="center"/>
        <w:tblInd w:w="0" w:type="dxa"/>
        <w:tblLayout w:type="fixed"/>
        <w:tblCellMar>
          <w:top w:w="28" w:type="dxa"/>
          <w:left w:w="28" w:type="dxa"/>
          <w:bottom w:w="28" w:type="dxa"/>
          <w:right w:w="28" w:type="dxa"/>
        </w:tblCellMar>
      </w:tblPr>
      <w:tblGrid>
        <w:gridCol w:w="1386"/>
        <w:gridCol w:w="1222"/>
        <w:gridCol w:w="1231"/>
        <w:gridCol w:w="109"/>
        <w:gridCol w:w="109"/>
        <w:gridCol w:w="109"/>
        <w:gridCol w:w="249"/>
        <w:gridCol w:w="747"/>
        <w:gridCol w:w="129"/>
        <w:gridCol w:w="109"/>
        <w:gridCol w:w="109"/>
        <w:gridCol w:w="109"/>
        <w:gridCol w:w="264"/>
        <w:gridCol w:w="264"/>
        <w:gridCol w:w="266"/>
        <w:gridCol w:w="109"/>
        <w:gridCol w:w="109"/>
        <w:gridCol w:w="109"/>
        <w:gridCol w:w="333"/>
        <w:gridCol w:w="995"/>
        <w:gridCol w:w="172"/>
        <w:gridCol w:w="109"/>
        <w:gridCol w:w="109"/>
        <w:gridCol w:w="109"/>
        <w:gridCol w:w="203"/>
        <w:gridCol w:w="203"/>
        <w:gridCol w:w="441"/>
        <w:gridCol w:w="154"/>
      </w:tblGrid>
      <w:tr>
        <w:trPr/>
        <w:tc>
          <w:tcPr>
            <w:tcW w:w="1386"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Effective </w:t>
            </w:r>
          </w:p>
          <w:p>
            <w:pPr>
              <w:pStyle w:val="TableContents"/>
              <w:bidi w:val="0"/>
              <w:spacing w:lineRule="auto" w:line="240" w:before="0" w:after="0"/>
              <w:jc w:val="center"/>
              <w:rPr/>
            </w:pPr>
            <w:r>
              <w:rPr>
                <w:color w:val="000000"/>
              </w:rPr>
              <w:t>  </w:t>
            </w:r>
            <w:r>
              <w:rPr>
                <w:rFonts w:ascii="Times New Roman;serif" w:hAnsi="Times New Roman;serif"/>
                <w:b/>
                <w:color w:val="000000"/>
                <w:sz w:val="16"/>
              </w:rPr>
              <w:t xml:space="preserve">Rate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Effective </w:t>
            </w:r>
          </w:p>
          <w:p>
            <w:pPr>
              <w:pStyle w:val="TableContents"/>
              <w:bidi w:val="0"/>
              <w:spacing w:lineRule="auto" w:line="240" w:before="0" w:after="0"/>
              <w:jc w:val="center"/>
              <w:rPr/>
            </w:pPr>
            <w:r>
              <w:rPr>
                <w:color w:val="000000"/>
              </w:rPr>
              <w:t>  </w:t>
            </w:r>
            <w:r>
              <w:rPr>
                <w:rFonts w:ascii="Times New Roman;serif" w:hAnsi="Times New Roman;serif"/>
                <w:b/>
                <w:color w:val="000000"/>
                <w:sz w:val="16"/>
              </w:rPr>
              <w:t xml:space="preserve">Rate </w:t>
            </w:r>
            <w:r>
              <w:rPr>
                <w:rFonts w:ascii="Times New Roman;serif" w:hAnsi="Times New Roman;serif"/>
                <w:b/>
                <w:color w:val="000000"/>
                <w:sz w:val="10"/>
              </w:rPr>
              <w:t>(1)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Ark 2021 Subordinated Notes Tranche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44.9</w:t>
            </w:r>
            <w:r>
              <w:rPr>
                <w:color w:val="000000"/>
              </w:rPr>
              <w:t>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Ark 2021 Subordinated Notes Tranche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47.0</w:t>
            </w: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Ark 2021 Subordinated Notes Tranche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70.0</w:t>
            </w: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issuance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(2.9)</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Ark 2021 Subordinated Notes, 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159.0</w:t>
            </w:r>
            <w:r>
              <w:rPr>
                <w:color w:val="000000"/>
              </w:rPr>
              <w:t>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159.7 </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Kudu Credit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358.3</w:t>
            </w:r>
            <w:r>
              <w:rPr>
                <w:color w:val="000000"/>
              </w:rPr>
              <w:t>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358.3 </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issuance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(7.6)</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Kudu Credit Facility, 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350.7</w:t>
            </w:r>
            <w:r>
              <w:rPr>
                <w:color w:val="000000"/>
              </w:rPr>
              <w:t>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350.4 </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8.9%</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HG Global 2026 Senior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200.0</w:t>
            </w:r>
            <w:r>
              <w:rPr>
                <w:color w:val="000000"/>
              </w:rPr>
              <w:t>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issuance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HG Global Senior Notes, 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197.4</w:t>
            </w:r>
            <w:r>
              <w:rPr>
                <w:color w:val="000000"/>
              </w:rPr>
              <w:t>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HG Global 2022 Senior Notes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discount and issuance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HG Global 2022 Senior Notes, carrying value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147.8 </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Distinguished Credit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130.7</w:t>
            </w:r>
            <w:r>
              <w:rPr>
                <w:color w:val="000000"/>
              </w:rPr>
              <w:t>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131.4 </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issuance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Distinguished Credit Facility, 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129.4</w:t>
            </w:r>
            <w:r>
              <w:rPr>
                <w:color w:val="000000"/>
              </w:rPr>
              <w:t>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129.9 </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Distinguished other debt, 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w:t>
            </w:r>
            <w:r>
              <w:rPr>
                <w:color w:val="000000"/>
              </w:rPr>
              <w:t>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10.9%</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Distinguished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140.9</w:t>
            </w:r>
            <w:r>
              <w:rPr>
                <w:color w:val="000000"/>
              </w:rPr>
              <w:t>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140.8 </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WTM Partners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67.5</w:t>
            </w:r>
            <w:r>
              <w:rPr>
                <w:color w:val="000000"/>
              </w:rPr>
              <w:t>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issuance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WTM Partners Debt, 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66.5</w:t>
            </w:r>
            <w:r>
              <w:rPr>
                <w:color w:val="000000"/>
              </w:rPr>
              <w:t>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4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Operations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18.3</w:t>
            </w:r>
            <w:r>
              <w:rPr>
                <w:color w:val="000000"/>
              </w:rPr>
              <w:t>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issuance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Operations Debt, 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18.0</w:t>
            </w:r>
            <w:r>
              <w:rPr>
                <w:color w:val="000000"/>
              </w:rPr>
              <w:t>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7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9.3%</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932.5</w:t>
            </w:r>
            <w:r>
              <w:rPr>
                <w:color w:val="000000"/>
              </w:rPr>
              <w:t> </w:t>
            </w:r>
          </w:p>
        </w:tc>
        <w:tc>
          <w:tcPr>
            <w:tcW w:w="1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837.0</w:t>
            </w:r>
            <w:r>
              <w:rPr>
                <w:color w:val="000000"/>
              </w:rPr>
              <w:t> </w:t>
            </w:r>
          </w:p>
        </w:tc>
        <w:tc>
          <w:tcPr>
            <w:tcW w:w="1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180"/>
        <w:jc w:val="left"/>
        <w:rPr/>
      </w:pPr>
      <w:r>
        <w:rPr>
          <w:color w:val="000000"/>
        </w:rPr>
        <w:t> </w:t>
      </w:r>
      <w:r>
        <w:rPr>
          <w:rFonts w:ascii="Times New Roman;serif" w:hAnsi="Times New Roman;serif"/>
          <w:b w:val="false"/>
          <w:color w:val="000000"/>
          <w:sz w:val="10"/>
        </w:rPr>
        <w:t xml:space="preserve">(1) </w:t>
      </w:r>
      <w:r>
        <w:rPr>
          <w:rFonts w:ascii="Times New Roman;serif" w:hAnsi="Times New Roman;serif"/>
          <w:b w:val="false"/>
          <w:color w:val="000000"/>
          <w:sz w:val="16"/>
        </w:rPr>
        <w:t xml:space="preserve">The effective rate includes the effect of the amortization of debt issuance costs and original issue discount but excludes the effect of the interest rate caps, where applicable. See </w:t>
      </w:r>
      <w:r>
        <w:rPr>
          <w:rFonts w:ascii="Times New Roman;serif" w:hAnsi="Times New Roman;serif"/>
          <w:b/>
          <w:color w:val="000000"/>
          <w:sz w:val="16"/>
        </w:rPr>
        <w:t>Note 9</w:t>
      </w:r>
      <w:r>
        <w:rPr>
          <w:color w:val="000000"/>
        </w:rPr>
        <w:t xml:space="preserve"> — “</w:t>
      </w:r>
      <w:r>
        <w:rPr>
          <w:rFonts w:ascii="Times New Roman;serif" w:hAnsi="Times New Roman;serif"/>
          <w:b/>
          <w:color w:val="000000"/>
          <w:sz w:val="16"/>
        </w:rPr>
        <w:t>Derivatives.”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Ark Subordinated Notes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third quarter of 2021, GAIL issued $163.3 million face value floating rate unsecured subordinated notes at par in three separate transactions for proceeds of $157.8 million, net of debt issuance costs (collectively, the “Ark 2021 Subordinated Notes”). The Ark 2021 Subordinated Notes were issued in private placement offerings that were exempt from the registration requirements of the Securities Act of 1933.</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July 13, 2021, Ark issued €39.1 million ($46.3 million based upon the foreign currency exchange spot rate as of the date of the transaction) face value floating rate unsecured subordinated notes (“Ark 2021 Subordinated Notes Tranche 1”). The Ark 2021 Subordinated Notes Tranche 1, which mature on July 13, 2041, accrue interest at a floating rate equal to the three-month Euro Interbank Offered Rate (“EURIBOR”) plus 5.75% per annum.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August 11, 2021, Ark issued $47.0 million face value floating rate unsecured subordinated notes (“Ark 2021 Subordinated Notes Tranche 2”). The Ark 2021 Subordinated Notes Tranche 2, which mature on August 11, 2041, accrue interest at a floating rate equal to the three-month Secured Overnight Financing Rate (“SOFR”) plus a SOFR benchmark adjustment of 0.26% and a stated margin of 5.75% per annum.</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September 8, 2021, Ark issued $70.0 million face value floating rate unsecured subordinated notes (“Ark 2021 Subordinated Notes Tranche 3”). The Ark 2021 Subordinated Notes Tranche 3, which mature on September 8, 2041, accrue interest at a floating rate equal to the three-month SOFR plus a SOFR benchmark adjustment of 0.26% and a stated margin of 6.1% per annum.</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the ten-year anniversary of the issue dates, the interest rate for the Ark 2021 Subordinated Notes will increase by 1.0% per annum. Ark has the option to redeem, in whole or in part, the Ark 2021 Subordinated Notes ahead of contractual maturity at the outstanding principal amounts plus accrued interest at the ten-year anniversary or any subsequent interest payment date.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All payments of principal and interest under the Ark 2021 Subordinated Notes are conditional upon GAIL’s solvency and compliance with the enhanced capital requirements of the Bermuda Monetary Authority (“BMA”). The deferral of payments of principal and interest under these conditions does not constitute a default by Ark and does not give the noteholders any rights to accelerate repayment of the Ark 2021 Subordinated Notes or take any enforcement action under the Ark 2021 Subordinated Notes.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the payments of principal and interest under the Ark 2021 Subordinated Notes become subject to tax withholding in Bermuda, the Ark 2021 Subordinated Notes require the payment of additional amounts such that the amount received by the noteholders is the same as would have been received absent the tax withholding being imposed. The Ark 2021 Subordinated Notes Tranche 3 require the payment of additional interest of 1.0% per annum upon the occurrence of a premium load event until such event is remedied. Premium load events include the failure to meet payment obligations of the Ark 2021 Subordinated Notes Tranche 3 when due, failure of GAIL to maintain an investment grade credit rating, failure to maintain 120% of GAIL’s Bermuda solvency capital requirement, failure of GAIL to maintain a debt to capital ratio below 40%, late filing of GAIL’s or Ark’s financial information, and making a restricted payment or distribution on GAIL’s common stock or other securities that rank junior or pari passu with the Ark 2021 Subordinated Notes Tranche 3 when a different premium load event exists or will be caused by the restricted payment. As of June 30, 2026, there were no premium load events.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 the Ark 2021 Subordinated Notes Tranche 1 had an outstanding balance of €39.1 million ($44.9 million based upon the foreign exchange spot rate as of June 30, 2026), the Ark 2021 Subordinated Notes Tranche 2 had an outstanding balance of $47.0 million, and the Ark 2021 Subordinated Notes Tranche 3 had an outstanding balance of $70.0 million.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Ark Subordinated Notes contain various affirmative and negative covenants that White Mountains considers to be customary for such borrowings.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Ark Standby Letter of Credit Facilities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December 2021, Ark entered into an uncommitted secured standby letter of credit facility agreement with Citibank Europe Plc (the “Citibank LOC Facility”), with capacity of $125.0 million on a collateralized basis. In September 2022, Ark entered into an additional uncommitted standby letter of credit facility agreement with Lloyds Bank Corporate Markets PLC (the “Lloyds LOC Facility”), with capacity of $100.0 million on a collateralized basis.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 the Citibank LOC Facility had an outstanding balance of $67.4 million and cash and investments pledged as collateral of $76.0 million. As of June 30, 2026, the Lloyds LOC Facility had an outstanding balance of $24.0 million and cash and investments pledged as collateral of $31.2 million. Ark’s uncommitted secured standby letter of credit facility agreements contain various representations, warranties and affirmative and negative covenants that White Mountains considers to be customary for such borrowings.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Kudu Credit Facility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March 23, 2021, Kudu entered into a secured revolving credit facility (the “Kudu Credit Facility”) with Mass Mutual. The Kudu Credit Facility has a total commitment of $500.0 million, an availability period through July 21, 2030 and a maturity date of July 21, 2038. </w:t>
      </w:r>
    </w:p>
    <w:p>
      <w:pPr>
        <w:pStyle w:val="TextBody"/>
        <w:bidi w:val="0"/>
        <w:spacing w:lineRule="auto" w:line="288" w:before="0" w:after="0"/>
        <w:jc w:val="left"/>
        <w:rPr/>
      </w:pPr>
      <w:r>
        <w:rPr>
          <w:rFonts w:ascii="Times New Roman;serif" w:hAnsi="Times New Roman;serif"/>
          <w:b w:val="false"/>
          <w:color w:val="000000"/>
          <w:sz w:val="20"/>
        </w:rPr>
        <w:t xml:space="preserve">From July 1, 2024 through July 21, 2025, interest on the Kudu Credit Facility accrued at a floating rate equal to the three-month SOFR plus a stated margin of 4.45% per annum with no SOFR benchmark adjustment. Effective July 21, 2025, the Kudu Credit Facility accrues interest at the greater of (i) the fixed rate equal to the interpolated yield on U.S. Treasuries at the time of each future borrowing plus a stated margin of 3.10% or (ii) 7.25%. The interest rate on the $253.3 million outstanding balance as of July 21, 2025 was reduced from a then floating rate of 8.75% to a fixed rate of 7.65%. In 2024, Kudu entered into an interest rate cap to limit its exposure to the risk of interest rate increases on the Kudu Credit Facility, which was cancelled in July 2026. See </w:t>
      </w:r>
      <w:r>
        <w:rPr>
          <w:rFonts w:ascii="Times New Roman;serif" w:hAnsi="Times New Roman;serif"/>
          <w:b/>
          <w:color w:val="000000"/>
          <w:sz w:val="20"/>
        </w:rPr>
        <w:t>Note 9</w:t>
      </w:r>
      <w:r>
        <w:rPr>
          <w:color w:val="000000"/>
        </w:rPr>
        <w:t xml:space="preserve"> — “</w:t>
      </w:r>
      <w:r>
        <w:rPr>
          <w:rFonts w:ascii="Times New Roman;serif" w:hAnsi="Times New Roman;serif"/>
          <w:b/>
          <w:color w:val="000000"/>
          <w:sz w:val="20"/>
        </w:rPr>
        <w:t>Derivatives.”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Kudu Credit Facility requires Kudu to maintain an interest reserve account of two times the interest accrued for the most recent quarterly interest period. As of June 30, 2026 and December 31, 2025, the interest reserve account held short-term investments of $9.8 million and $7.6 million.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Kudu Credit Facility requires Kudu to maintain a maximum loan-to-value ratio of the outstanding balance to the sum of the fair market value of Kudu’s other long-term investments and cash held in certain accounts (the “LTV Percentage”) for annual periods beginning on July 21, 2025 as follows: 40% in years 0-6, 25% in years 7-8, 15% in years 9-11 and 0% thereafter. As of June 30, 2026, Kudu had a 26.5% LTV Percentage.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Kudu Credit Facility requires Kudu to maintain a minimum debt service coverage ratio of 2.5 times for 2025 and thereafter. As of June 30, 2026, Kudu had a debt service coverage ratio of 4.0 times.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Kudu may borrow undrawn balances until July 21, 2030, subject to customary terms and conditions, to the extent that the amount borrowed under the Kudu Credit Facility does not exceed the borrowing base, which is equal to 35% of the fair value of Kudu’s other long-term investments.</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change in debt under the Kudu Credit Facility for the three and six months ended June 30, 2026 and 2025:</w:t>
      </w:r>
    </w:p>
    <w:tbl>
      <w:tblPr>
        <w:tblW w:w="7047" w:type="dxa"/>
        <w:jc w:val="center"/>
        <w:tblInd w:w="0" w:type="dxa"/>
        <w:tblLayout w:type="fixed"/>
        <w:tblCellMar>
          <w:top w:w="28" w:type="dxa"/>
          <w:left w:w="28" w:type="dxa"/>
          <w:bottom w:w="28" w:type="dxa"/>
          <w:right w:w="28" w:type="dxa"/>
        </w:tblCellMar>
      </w:tblPr>
      <w:tblGrid>
        <w:gridCol w:w="677"/>
        <w:gridCol w:w="595"/>
        <w:gridCol w:w="602"/>
        <w:gridCol w:w="109"/>
        <w:gridCol w:w="109"/>
        <w:gridCol w:w="109"/>
        <w:gridCol w:w="215"/>
        <w:gridCol w:w="645"/>
        <w:gridCol w:w="111"/>
        <w:gridCol w:w="111"/>
        <w:gridCol w:w="111"/>
        <w:gridCol w:w="111"/>
        <w:gridCol w:w="215"/>
        <w:gridCol w:w="630"/>
        <w:gridCol w:w="111"/>
        <w:gridCol w:w="109"/>
        <w:gridCol w:w="109"/>
        <w:gridCol w:w="109"/>
        <w:gridCol w:w="211"/>
        <w:gridCol w:w="631"/>
        <w:gridCol w:w="109"/>
        <w:gridCol w:w="109"/>
        <w:gridCol w:w="109"/>
        <w:gridCol w:w="109"/>
        <w:gridCol w:w="211"/>
        <w:gridCol w:w="616"/>
        <w:gridCol w:w="154"/>
      </w:tblGrid>
      <w:tr>
        <w:trPr/>
        <w:tc>
          <w:tcPr>
            <w:tcW w:w="677"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Kudu Credit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358.3</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253.3 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358.3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Borrowings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358.3</w:t>
            </w:r>
            <w:r>
              <w:rPr>
                <w:color w:val="000000"/>
              </w:rPr>
              <w:t> </w:t>
            </w:r>
          </w:p>
        </w:tc>
        <w:tc>
          <w:tcPr>
            <w:tcW w:w="1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253.3 </w:t>
            </w:r>
          </w:p>
        </w:tc>
        <w:tc>
          <w:tcPr>
            <w:tcW w:w="1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358.3</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253.3 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Kudu Credit Facility is secured by all property of the loan parties and contains various representations, warranties and affirmative and negative covenants that White Mountains considers to be customary for such borrowings.</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color w:val="000000"/>
          <w:sz w:val="20"/>
        </w:rPr>
      </w:pPr>
      <w:r>
        <w:rPr>
          <w:rFonts w:ascii="Times New Roman;serif" w:hAnsi="Times New Roman;serif"/>
          <w:b/>
          <w:color w:val="000000"/>
          <w:sz w:val="20"/>
        </w:rPr>
        <w:t>HG Global Senior Notes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April 29, 2022, HG Global issued $150.0 million face value floating rate secured senior notes with a maturity date of April 29, 2032 (the “HG Global 2022 Senior Notes”). On May 14, 2026, HG Global refinanced the HG Global 2022 Senior Notes in a private placement transaction, upsizing the facility and improving the terms and conditions. In the refinancing, HG Global issued $200.0 million face value fixed rate secured senior notes with a maturity date of May 14, 2036 (the "HG Global 2026 Senior Notes"). In connection with the extinguishment of the HG Global 2022 Senior Notes, HG Global recognized a $3.6 million loss within general and administrative expenses.</w:t>
      </w:r>
    </w:p>
    <w:p>
      <w:pPr>
        <w:pStyle w:val="TextBody"/>
        <w:bidi w:val="0"/>
        <w:spacing w:lineRule="auto" w:line="288" w:before="0" w:after="0"/>
        <w:jc w:val="left"/>
        <w:rPr/>
      </w:pPr>
      <w:r>
        <w:rPr>
          <w:rFonts w:ascii="Times New Roman;serif" w:hAnsi="Times New Roman;serif"/>
          <w:b w:val="false"/>
          <w:color w:val="000000"/>
          <w:sz w:val="20"/>
        </w:rPr>
        <w:t xml:space="preserve">The HG Global 2026 Senior Notes accrue interest at a fixed rate of 7.39% per annum. Prior to the extinguishment on May 14, 2026, the HG Global 2022 Senior Notes accrued interest at a floating rate of 9.93%, based on the three-month SOFR plus a SOFR benchmark adjustment of 0.26% and a stated margin of 6.0% per annum. In 2024, HG Global entered into an interest rate cap to limit its exposure to the risk of interest rate increases on the HG Global 2022 Senior Notes, which was cancelled in July 2026. See </w:t>
      </w:r>
      <w:r>
        <w:rPr>
          <w:rFonts w:ascii="Times New Roman;serif" w:hAnsi="Times New Roman;serif"/>
          <w:b/>
          <w:color w:val="000000"/>
          <w:sz w:val="20"/>
        </w:rPr>
        <w:t>Note 9</w:t>
      </w:r>
      <w:r>
        <w:rPr>
          <w:color w:val="000000"/>
        </w:rPr>
        <w:t xml:space="preserve"> — “</w:t>
      </w:r>
      <w:r>
        <w:rPr>
          <w:rFonts w:ascii="Times New Roman;serif" w:hAnsi="Times New Roman;serif"/>
          <w:b/>
          <w:color w:val="000000"/>
          <w:sz w:val="20"/>
        </w:rPr>
        <w:t>Derivatives.”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HG Global 2026 Senior Notes require HG Global to maintain an interest reserve account equal to the annual interest expense. Prior to extinguishment, the HG Global 2022 Senior Notes required HG Global to maintain an interest reserve account equal to two years of annual interest expense. As of June 30, 2026 and December 31, 2025, the interest reserve account held short-term investments of $14.9 million and $30.4 million.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Under the HG Global 2026 Senior Notes, if payments of principal and interest become subject to tax withholding on behalf of a relevant governmental authority for certain indemnified taxes, the HG Global 2026 Senior Notes require the payment of additional amounts such that the amount received by the noteholders is the same as would have been received absent the tax withholding being imposed. The HG Global 2026 Senior Notes require the payment of additional interest of 2.0% per annum if certain conditions of default are met, including failing to make payments or violating any affirmative or negative covenants.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HG Global 2026 Senior Notes are secured by the capital stock and other equity interests of HG Global’s subsidiaries, the interest reserve account and all cash and non-cash proceeds from such collateral. The HG Global 2026 Senior Notes contain various affirmative and negative covenants that White Mountains considers to be customary for such borrowings.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 the HG Global 2026 Senior Notes had an outstanding balance of $200.0 million.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color w:val="000000"/>
          <w:sz w:val="20"/>
        </w:rPr>
      </w:pPr>
      <w:r>
        <w:rPr>
          <w:rFonts w:ascii="Times New Roman;serif" w:hAnsi="Times New Roman;serif"/>
          <w:b/>
          <w:color w:val="000000"/>
          <w:sz w:val="20"/>
        </w:rPr>
        <w:t>Distinguished Credit Facility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July 4, 2025, Distinguished entered into an amended credit facility (the “Distinguished Credit Facility”). The amendment waived certain change of control prepayment provisions and provided $50.0 million of incremental term loan principal for purposes of consummating the Distinguished Transaction. The $50.0 million of incremental term loan principal was subsequently drawn on September 2, 2025 in connection with the closing of the Distinguished Transaction. The Distinguished Credit Facility is comprised of a term loan of $141.0 million, a delayed-draw term loan of $40.0 million and a revolving credit loan commitment of $15.0 million. The Distinguished Credit Facility matures on October 10, 2029. </w:t>
      </w:r>
    </w:p>
    <w:p>
      <w:pPr>
        <w:pStyle w:val="TextBody"/>
        <w:bidi w:val="0"/>
        <w:spacing w:lineRule="auto" w:line="288" w:before="0" w:after="0"/>
        <w:jc w:val="left"/>
        <w:rPr/>
      </w:pPr>
      <w:r>
        <w:rPr>
          <w:rFonts w:ascii="Times New Roman;serif" w:hAnsi="Times New Roman;serif"/>
          <w:b w:val="false"/>
          <w:color w:val="000000"/>
          <w:sz w:val="20"/>
        </w:rPr>
        <w:t>Distinguished was required to make payments of principal on a quarterly basis totaling $0.4 million for 2025, increasing to $1.4 million annually thereafter. On an annual basis, Distinguished may also be required to use a percentage of excess cash flows to repay outstanding principal plus accrued interest if Distinguished’s total leverage ratio, calculated as total indebtedness less unrestricted cash over bank adjusted EBITDA</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rises above 3.75 times. To date, no repayments have been required under this provision. The next annual determination will occur in the second quarter of 2027. Distinguished has the option to prepay, in whole or in part, the Distinguished Credit Facility at the outstanding principal plus accrued interest. The delayed draw term loan may be drawn on or before October 10, 2026. As of June 30, 2026, the revolving credit and delayed draw term loans were undrawn.</w:t>
      </w:r>
    </w:p>
    <w:p>
      <w:pPr>
        <w:pStyle w:val="TextBody"/>
        <w:bidi w:val="0"/>
        <w:spacing w:lineRule="auto" w:line="288" w:before="0" w:after="0"/>
        <w:jc w:val="left"/>
        <w:rPr/>
      </w:pPr>
      <w:r>
        <w:rPr>
          <w:rFonts w:ascii="Times New Roman;serif" w:hAnsi="Times New Roman;serif"/>
          <w:b w:val="false"/>
          <w:color w:val="000000"/>
          <w:sz w:val="20"/>
        </w:rPr>
        <w:t xml:space="preserve">Interest on the Distinguished Credit Facility accrues at a floating rate equal to the three-month SOFR plus a stated margin ranging from 5.25% to 5.5% per annum based on Distinguished’s total leverage ratio. As of June 30, 2026, the stated margin was 5.5%. On September 16, 2025, Distinguished entered into an interest rate cap to limit its exposure to the risk of interest rate increases on the Distinguished Credit Facility. See </w:t>
      </w:r>
      <w:r>
        <w:rPr>
          <w:rFonts w:ascii="Times New Roman;serif" w:hAnsi="Times New Roman;serif"/>
          <w:b/>
          <w:color w:val="000000"/>
          <w:sz w:val="20"/>
        </w:rPr>
        <w:t>Note 9 — “Derivatives.”</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change in debt under the Distinguished Credit Facility for the three and six months ended June 30, 2026:</w:t>
      </w:r>
    </w:p>
    <w:tbl>
      <w:tblPr>
        <w:tblW w:w="6572" w:type="dxa"/>
        <w:jc w:val="center"/>
        <w:tblInd w:w="0" w:type="dxa"/>
        <w:tblLayout w:type="fixed"/>
        <w:tblCellMar>
          <w:top w:w="28" w:type="dxa"/>
          <w:left w:w="28" w:type="dxa"/>
          <w:bottom w:w="28" w:type="dxa"/>
          <w:right w:w="28" w:type="dxa"/>
        </w:tblCellMar>
      </w:tblPr>
      <w:tblGrid>
        <w:gridCol w:w="922"/>
        <w:gridCol w:w="811"/>
        <w:gridCol w:w="817"/>
        <w:gridCol w:w="109"/>
        <w:gridCol w:w="109"/>
        <w:gridCol w:w="109"/>
        <w:gridCol w:w="366"/>
        <w:gridCol w:w="1095"/>
        <w:gridCol w:w="189"/>
        <w:gridCol w:w="109"/>
        <w:gridCol w:w="109"/>
        <w:gridCol w:w="109"/>
        <w:gridCol w:w="323"/>
        <w:gridCol w:w="966"/>
        <w:gridCol w:w="166"/>
        <w:gridCol w:w="109"/>
        <w:gridCol w:w="154"/>
      </w:tblGrid>
      <w:tr>
        <w:trPr/>
        <w:tc>
          <w:tcPr>
            <w:tcW w:w="922"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Three Months Ended </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w:t>
              <w:b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Distinguished Credit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131.1</w:t>
            </w: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131.4</w:t>
            </w: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w:t>
            </w:r>
          </w:p>
        </w:tc>
        <w:tc>
          <w:tcPr>
            <w:tcW w:w="1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50"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130.7</w:t>
            </w:r>
            <w:r>
              <w:rPr>
                <w:color w:val="000000"/>
              </w:rPr>
              <w:t> </w:t>
            </w:r>
          </w:p>
        </w:tc>
        <w:tc>
          <w:tcPr>
            <w:tcW w:w="18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130.7</w:t>
            </w:r>
            <w:r>
              <w:rPr>
                <w:color w:val="000000"/>
              </w:rPr>
              <w:t> </w:t>
            </w:r>
          </w:p>
        </w:tc>
        <w:tc>
          <w:tcPr>
            <w:tcW w:w="1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Distinguished Credit Facility is secured by all property of the loan parties and contains various representations, warranties and affirmative and negative covenants that White Mountains considers to be customary for such borrowings, including a maximum total leverage ratio of 5.5 times. As of June 30, 2026, Distinguished’s total leverage ratio was 4.8 times.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WTM Partners Debt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WTM Partners had debt with an outstanding balance of $67.5 million, which consisted of two secured credit facilities (collectively, “WTM Partners Debt”).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Other Operations Debt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White Mountains’s Other Operations had debt with an outstanding balance of $18.3 million, which consisted of four secured credit facilities (collectively, “Other Operations Debt”).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WTM Credit Facility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July 16, 2025, the Company entered into a credit agreement, which established a senior unsecured revolving credit facility of up to $250.0 million that matures on July 16, 2028 (the “WTM Credit Facility”). As of June 30, 2026, the WTM Credit Facility was undrawn. White Mountains may borrow undrawn balances until July 16, 2028, subject to customary terms and conditions, including key covenants tied to White Mountains’s minimum net worth and debt to total capital ratio. Interest on any future borrowings under the WTM Credit Facility will accrue at a floating rate generally equal to the SOFR term rate plus a stated margin ranging from 1.1% to 1.5% per annum.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WTM Credit Facility contains various representations, warranties and affirmative and negative covenants that White Mountains considers to be customary for such borrowings.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Compliance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 White Mountains was in compliance, in all material respects, with all of the covenants under its debt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Note 8.  Income Taxes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subsidiaries and branches that operate in various jurisdictions around the world and are subject to tax in the jurisdictions in which they operate.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primary jurisdictions in which the Company’s subsidiaries and branches operated and were subject to tax include the United States, the United Kingdom, Luxembourg and Israel.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Certain of the Company’s subsidiaries are subject to the global minimum tax regime of the Organization for Economic Cooperation and Development (“OECD”) Pillar Two initiative, as enacted by Luxembourg, the United Kingdom and Israel in their respective domestic laws. The Pillar Two initiative includes a set of model rules that are generally designed to impose a top-up tax on a large multinational enterprise group to the extent that the group is not subject to an effective tax rate of at least 15% in each jurisdiction in which the group has a consolidated affiliate or permanent establishment.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and its Bermuda-domiciled subsidiaries were not subject to income tax in Bermuda in 2025 and prior years. On December 27, 2023, Bermuda enacted a 15% corporate income tax that became effective on January 1, 2025. The Bermuda tax legislation defers the effective date for five years for Bermuda companies in consolidated groups that meet certain requirements. White Mountains expects to meet the requirements to be exempt from the Bermuda corporate income tax until January 1, 2030.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Bermuda tax legislation also provides for an optional economic transition adjustment that can decrease or increase future years’ taxable income. Under GAAP, this economic transition adjustment was required to be recognized as a deferred tax asset or liability as of December 31, 2023 if a company intended to apply the adjustment to compute its taxable income. Accordingly, White Mountains recorded a net deferred tax asset of $68.0 million in 2023, of which $51.0 million was attributable to Ark and $17.0 million was attributable to HG Global. As of July 1, 2024, White Mountains no longer consolidates BAM. As a result of the deconsolidation of BAM, the BAM Surplus Notes were recorded at fair value, which resulted in the reversal of a $5.0 million deferred tax liability related to the economic transition adjustment, generating a $5.0 million deferred tax benefit in 2024. On December 11, 2025, Bermuda enacted legislation that changed the scope of assets and liabilities subject to the economic transition adjustment. This legislation resulted in the reversal of a $5.1 million deferred tax liability related to the economic transition adjustment, generating a $5.1 million deferred tax benefit in 2025.</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a result of legislation enacted by Luxembourg on December 17, 2025 and the United Kingdom on March 18, 2026, White Mountains expects to incur a top-up tax under the Luxembourg and United Kingdom Undertaxed Profits Rule (“UTPR”) equal to the amount of the deferred tax benefit for the year associated with the Bermuda economic transition adjustment. Consequently, White Mountains expects to derive no economic benefit from the economic transition adjustment and intends to opt out of the economic transition adjustment upon becoming subject to Bermuda corporate income tax. Accordingly, White Mountains recognized a deferred tax expense of $78.1 million in 2025 to reverse the net deferred tax asset related to the Bermuda economic transition adjustment.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White Mountains’s income tax expense related to pre-tax income from continuing operations for the three and six months ended June 30, 2026, represented an effective tax rate of 9.7% and 11.1%. The effective tax rate was different from the U.S. statutory rate of 21.0%, driven primarily by full year forecasted income in jurisdictions with lower tax rates than the United States and full valuation allowances on deferred tax assets at certain U.S. operations.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White Mountains’s income tax expense related to pre-tax income from continuing operations for the three and six months ended June 30, 2025, represented an effective tax rate of 7.3% and 9.0%. The effective tax rate was different from the U.S. statutory rate of 21.0%, driven primarily by full year forecasted income in jurisdictions with lower tax rates than the United States.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arriving at the effective tax rate for the three and six months ended June 30, 2026 and 2025, White Mountains forecasted all income and expense items, including the change in net realized and unrealized investment gains (losses), for the years ending December 31, 2026 and 2025.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White Mountains records a valuation allowance against deferred tax assets if it becomes more likely than not that all or a portion of a deferred tax asset will not be realized. Changes in valuation allowances from period to period are included in income tax expense in the period of change. In determining whether or not a valuation allowance, or change therein, is warranted, White Mountains considers factors such as prior earnings history, expected future earnings, carryback and carryforward periods and strategies that if executed would result in the realization of a deferred tax asset. It is possible that certain planning strategies or projected earnings in certain subsidiaries may not be sufficient to utilize the entire deferred tax asset, which could result in changes to White Mountains’s deferred tax assets and tax expense.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With few exceptions, White Mountains is no longer subject to U.S. federal, state or non-U.S. income tax examinations by tax authorities for years before 2019.</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Note 9. Derivatives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Kudu Interest Rate Cap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September 17, 2024, Kudu entered into an interest rate cap agreement, effective on September 30, 2024, to limit its exposure to the risk of interest rate increases on the Kudu Credit Facility (the “Kudu Interest Rate Cap”). The notional amount of the Kudu Interest Rate Cap was $150.0 million, and the termination date was September 30, 2027. Kudu paid an initial premium of $0.9 million for the Kudu Interest Rate Cap. Effective July 23, 2026, Kudu cancelled the Kudu Interest Rate Cap and received $0.1 million.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HG Global Interest Rate Cap</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August 22, 2024, HG Global entered into an interest rate cap agreement, effective July 25, 2025, to limit its exposure to the risk of interest rate increases on the HG Global 2022 Senior Notes (the “HG Global 2024 Interest Rate Cap”). The notional amount of the HG Global 2024 Interest Rate Cap was $150.0 million, and the termination date was July 25, 2028. HG Global paid an initial premium of $1.3 million for the HG Global 2024 Interest Rate Cap. Effective July 23, 2026, HG Global cancelled the HG Global 2024 Interest Rate Cap and received $0.4 million.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Distinguished Interest Rate Cap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September 16, 2025, Distinguished entered into an interest rate cap agreement to limit its exposure to the risk of interest rate increases on the Distinguished Credit Facility (the “Distinguished Interest Rate Cap”). The notional amount of the Distinguished Interest Rate Cap is $70.0 million, and the termination date is September 16, 2028. Distinguished paid an initial premium of $0.2 million for the Distinguished Interest Rate Cap.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Under the Distinguished Interest Rate Cap, if the one-month SOFR on a monthly determination date exceeds 5.0%, Distinguished will receive a payment from the counterparty for the difference on the subsequent settlement date. As of June 30, 2026, the one-month SOFR was 3.7%. For the three and six months ended June 30, 2026, Distinguished did not receive any payments related to the periodic settlement of the Distinguished Interest Rate Cap.</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Distinguished accounts for the Distinguished Interest Rate Cap as a derivative at fair value within other assets, with changes in fair value recognized in current period earnings within interest expense.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Distinguished recognized a net unrealized gain of $0.1 million and $0.1 million related to the change in fair value on the Distinguished Interest Rate Cap within interest expense. As of June 30, 2026 and December 31, 2025, the fair value of the Distinguished Interest Rate Cap was $0.2 million and $0.1 million. White Mountains classifies the Distinguished Interest Rate Cap as a Level 2 measurement.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Note 10. Municipal Bond Guarantee Reinsurance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HG Global was established to fund the startup of BAM, a mutual municipal bond insurer. HG Global, together with its subsidiaries, provided the initial capitalization of BAM through the purchase of $503.0 million of the BAM Surplus Notes.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Reinsurance Treaties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FLRT</w:t>
      </w:r>
      <w:r>
        <w:rPr>
          <w:color w:val="000000"/>
        </w:rPr>
        <w:t xml:space="preserve"> </w:t>
      </w:r>
    </w:p>
    <w:p>
      <w:pPr>
        <w:pStyle w:val="TextBody"/>
        <w:bidi w:val="0"/>
        <w:spacing w:lineRule="auto" w:line="288" w:before="0" w:after="0"/>
        <w:jc w:val="left"/>
        <w:rPr/>
      </w:pPr>
      <w:r>
        <w:rPr>
          <w:rFonts w:ascii="Times New Roman;serif" w:hAnsi="Times New Roman;serif"/>
          <w:b w:val="false"/>
          <w:color w:val="000000"/>
          <w:sz w:val="20"/>
        </w:rPr>
        <w:t>HG Re is a party to the FLRT with BAM, under which HG Re provides first-loss reinsurance protection of up to 15%-of-par outstanding for each policy assumed from BAM.</w:t>
      </w:r>
      <w:r>
        <w:rPr>
          <w:color w:val="000000"/>
        </w:rPr>
        <w:t xml:space="preserve"> </w:t>
      </w:r>
      <w:r>
        <w:rPr>
          <w:rFonts w:ascii="Times New Roman;serif" w:hAnsi="Times New Roman;serif"/>
          <w:b w:val="false"/>
          <w:color w:val="000000"/>
          <w:sz w:val="20"/>
        </w:rPr>
        <w:t>For capital appreciation bonds, par is adjusted to the estimated equivalent par value for current interest paying bonds. HG Re is only required to provide reinsurance on policies that fall within the FLRT underwriting guidelines agreed upon by HG Re.</w:t>
      </w:r>
      <w:r>
        <w:rPr>
          <w:color w:val="008080"/>
        </w:rPr>
        <w:t xml:space="preserv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BAM charges an insurance premium on each municipal bond insurance policy it underwrites. Historically, approximately 55% of the total insurance premium charged by BAM has been a member surplus contribution, and the remainder is a risk premium. In return for the reinsurance provided, HG Re receives approximately 60% of the risk premium charged, which is net of a ceding commission.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FLRT is a perpetual agreement with terms that can be renegotiated every five years. For the next renegotiation period, either party may provide notice during 2028 to trigger a renegotiation that would take effect on January 1, 2030.</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HG Re recognized gross written premiums of $11.0 million and $19.3 million and earned premiums of $7.7 million and $15.4 million. For the three and six months ended June 30, 2025, HG Re recognized gross written premiums of $19.2 million and $25.9 million and earned premiums of $7.1 million and $15.3 million.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XOLT</w:t>
      </w:r>
      <w:r>
        <w:rPr>
          <w:color w:val="000000"/>
        </w:rPr>
        <w:t xml:space="preserv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HG Re is party to an excess of loss reinsurance agreement (the “XOLT”) with BAM, under which HG Re provides last-dollar protection for exposures on municipal bonds insured by BAM in excess of the New York State Department of Financial Services (“NYDFS”) single issuer limits. As of June 30, 2026, the XOLT is subject to an aggregate limit equal to the lesser of $125.0 million or the assets held in the supplemental collateral trust (the “Supplemental Trust”) at any point in time. The XOLT is accounted for using deposit accounting, as the agreement does not meet the risk transfer requirements necessary to be accounted for as reinsurance. Accordingly, any financing revenues related to the XOLT are recorded in other revenues.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 the three and six months ended June 30, 2026 and 2025, other revenues recognized by HG Re related to the XOLT were insignificant.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Collateral Trusts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HG Re’s obligations under the FLRT are subject to an aggregate limit equal to the assets in two collateral trusts, the Supplemental Trust and the Regulation 114 Trust (together, the “Collateral Trusts”), at any point in time.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 monthly basis, BAM deposits cash equal to ceded premiums net of ceding commissions, due to HG Re under the FLRT directly into the Regulation 114 Trust. The Regulation 114 Trust target balance is equal to HG Re’s unearned premiums and unpaid loss and LAE reserves, if any. If, at the end of any quarter, the Regulation 114 Trust balance is below the target balance, funds will be withdrawn from the Supplemental Trust and deposited into the Regulation 114 Trust in an amount equal to the shortfall. If, at the end of any quarter, the Regulation 114 Trust balance is above 102% of the target balance, funds will be withdrawn from the Regulation 114 Trust and deposited into the Supplemental Trust. The Regulation 114 Trust balance as of June 30, 2026 and December 31, 2025 was $409.3 million and $399.4 million, which consisted of cash, investments and accrued investment income.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Supplemental Trust target balance is $603.0 million, less the amount of cash and securities in the Regulation 114 Trust in excess of its target balance (the “Supplemental Trust Target Balance”). If, at the end of any quarter, the Supplemental Trust balance exceeds the Supplemental Trust Target Balance, such excess may be distributed to HG Re. The distribution will be made first as an assignment of accrued interest on the BAM Surplus Notes and second in cash and/or fixed income securities. For the three and six months ended June 30, 2026, HG Re received a distribution from the Supplemental Trust of $13.8 million and $28.8 million, which consisted of an assignment of $6.9 million and $14.0 million of accrued interest on the BAM Surplus Notes and a cash distribution of $6.9 million and $14.8 million. For the three and six months ended June 30, 2025, HG Re received a distribution from the Supplemental Trust of $22.2 million, which consisted of an assignment of accrued interest on the BAM Surplus Notes of $15.2 million and a cash distribution of $7.0 million.</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the BAM Surplus Notes are repaid over time, the BAM Surplus Notes will be replaced in the Supplemental Trust by cash and fixed income securities. The Supplemental Trust balance as of June 30, 2026 and December 31, 2025 was $604.4 million and $607.1 million, which included $320.7 million and $323.3 million of cash, investments and accrued investment income, $276.8 million and $276.8 million of BAM Surplus Notes at nominal value and $6.9 million and $7.0 million of accrued interest receivable on the BAM Surplus Notes at nominal value.</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Collateral Trusts held total assets of $1,013.7 million and $1,006.5 million.</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BAM Surplus Notes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Through June 30, 2024, the interest rate on the BAM Surplus Notes was a variable rate equal to the one-year U.S. Treasury rate plus 300 basis points, set annually, with each payment applied pro rata between outstanding principal and interest. Accordingly, in 2024, the interest rate on the BAM Surplus Notes was 8.2% through June 30, 2024. Effective July 1, 2024 and through maturity, HG Global and BAM amended the interest rate on the BAM Surplus Notes to be 10.0%, with a higher proportion of each payment to be applied to outstanding principal.</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Under its agreements with HG Global, BAM is required to seek regulatory approval to pay principal and interest on the BAM Surplus Notes only to the extent that its remaining qualified statutory capital and other capital resources continue to support its outstanding obligations, its business plan and its “AA/stable” rating from Standard &amp; Poor’s. No payment of principal or interest on the BAM Surplus Notes may be made without the approval of the NYDFS. </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June 30, 2026 and 2025, HG Global did not receive any payments of principal or interest on the BAM Surplus Notes. </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principal balance on the BAM Surplus Notes was $276.8 million for both periods, and total interest receivable on the BAM Surplus Notes was $227.5 million and $213.7 million, all at nominal value. For three and six months ended June 30, 2026, White Mountains accrued $6.9 million and $13.8 million of interest income on the BAM Surplus Notes. For three and six months ended June 30, 2025, White Mountains accrued $7.5 million and $15.0 million of interest income on the BAM Surplus Notes.</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White Mountains elected the fair value option for the BAM Surplus Notes. The BAM Surplus Notes are classified as a Level 3 measurement. White Mountains values the BAM Surplus Notes each quarter using a discounted cash flow analysis. </w:t>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The discounted cash flow analysis used to value the BAM Surplus Notes depends on key inputs, such as projections of future revenues and earnings for BAM, expected payments on the BAM Surplus Notes through maturity and a discount rate to reflect time value and related uncertainty of the repayment pattern. The expected payments on the BAM Surplus Notes are based on management judgment, considering current performance, budgets and projected future results. These expected payments depend on BAM’s ability to generate excess cash flows from its operations, driven primarily by assumptions regarding future trends for the issuance of municipal bonds, interest rates, credit spreads, insured market penetration, competitive activity in the market for municipal bond insurance and other factors affecting the demand for and pricing of BAM’s municipal bond insurance, as well as BAM’s investment returns. The discount rate considers comparably-rated companies and instruments, adjusted for risks specific to BAM and the BAM Surplus Notes. As of June 30, 2026 and December 31, 2025, White Mountains concluded that a discount rate, which is a significant unobservable input used in estimating the fair value of the BAM Surplus Notes, of 8.20% and 8.05% was appropriate. The change in the discount rate was driven primarily by an increase in market interest rates. </w:t>
      </w:r>
    </w:p>
    <w:p>
      <w:pPr>
        <w:pStyle w:val="TextBody"/>
        <w:bidi w:val="0"/>
        <w:spacing w:lineRule="auto" w:line="26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When making its fair value selection, White Mountains considers all available information, facts and circumstances specific to BAM’s business and industry and any infrequent or unusual results for the period. As of June 30, 2026 and December 31, 2025, White Mountains recognized the BAM Surplus Notes at a fair value of $352.8 million and $339.0 million. The increase was driven primarily by accrued interest during the six months ended June 30, 2026. The recorded fair values represent management's best estimate and are within the range of reasonable values derived from the discounted cash flow analysis.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in the nominal value and fair value of the BAM Surplus Notes for the three and six months ended June 30, 2026 and 2025:</w:t>
      </w:r>
    </w:p>
    <w:tbl>
      <w:tblPr>
        <w:tblW w:w="10002" w:type="dxa"/>
        <w:jc w:val="center"/>
        <w:tblInd w:w="0" w:type="dxa"/>
        <w:tblLayout w:type="fixed"/>
        <w:tblCellMar>
          <w:top w:w="28" w:type="dxa"/>
          <w:left w:w="28" w:type="dxa"/>
          <w:bottom w:w="28" w:type="dxa"/>
          <w:right w:w="28" w:type="dxa"/>
        </w:tblCellMar>
      </w:tblPr>
      <w:tblGrid>
        <w:gridCol w:w="1316"/>
        <w:gridCol w:w="1159"/>
        <w:gridCol w:w="1169"/>
        <w:gridCol w:w="109"/>
        <w:gridCol w:w="109"/>
        <w:gridCol w:w="109"/>
        <w:gridCol w:w="250"/>
        <w:gridCol w:w="748"/>
        <w:gridCol w:w="129"/>
        <w:gridCol w:w="129"/>
        <w:gridCol w:w="129"/>
        <w:gridCol w:w="129"/>
        <w:gridCol w:w="250"/>
        <w:gridCol w:w="730"/>
        <w:gridCol w:w="129"/>
        <w:gridCol w:w="109"/>
        <w:gridCol w:w="109"/>
        <w:gridCol w:w="109"/>
        <w:gridCol w:w="227"/>
        <w:gridCol w:w="680"/>
        <w:gridCol w:w="117"/>
        <w:gridCol w:w="117"/>
        <w:gridCol w:w="117"/>
        <w:gridCol w:w="117"/>
        <w:gridCol w:w="227"/>
        <w:gridCol w:w="663"/>
        <w:gridCol w:w="117"/>
        <w:gridCol w:w="109"/>
        <w:gridCol w:w="109"/>
        <w:gridCol w:w="109"/>
        <w:gridCol w:w="109"/>
        <w:gridCol w:w="109"/>
        <w:gridCol w:w="154"/>
      </w:tblGrid>
      <w:tr>
        <w:trPr/>
        <w:tc>
          <w:tcPr>
            <w:tcW w:w="1316"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nominal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497.4</w:t>
            </w:r>
            <w:r>
              <w:rPr>
                <w:color w:val="000000"/>
              </w:rPr>
              <w:t>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503.2 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490.5</w:t>
            </w:r>
            <w:r>
              <w:rPr>
                <w:color w:val="000000"/>
              </w:rPr>
              <w:t>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495.7 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from BAM Surplus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w:t>
            </w: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of principal and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nominal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504.3</w:t>
            </w:r>
            <w:r>
              <w:rPr>
                <w:color w:val="000000"/>
              </w:rPr>
              <w:t>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510.7 </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504.3</w:t>
            </w:r>
            <w:r>
              <w:rPr>
                <w:color w:val="000000"/>
              </w:rPr>
              <w:t>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510.7 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fair value discount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(151.5)</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BAM Surplus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fair value discount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(151.5)</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w:t>
            </w:r>
          </w:p>
        </w:tc>
        <w:tc>
          <w:tcPr>
            <w:tcW w:w="12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(151.5)</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BAM Surplus Notes, at fair value</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0"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8"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352.8</w:t>
            </w:r>
            <w:r>
              <w:rPr>
                <w:color w:val="000000"/>
              </w:rPr>
              <w:t> </w:t>
            </w:r>
          </w:p>
        </w:tc>
        <w:tc>
          <w:tcPr>
            <w:tcW w:w="12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0"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396.7 </w:t>
            </w:r>
          </w:p>
        </w:tc>
        <w:tc>
          <w:tcPr>
            <w:tcW w:w="12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7"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80"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352.8</w:t>
            </w:r>
            <w:r>
              <w:rPr>
                <w:color w:val="000000"/>
              </w:rPr>
              <w:t> </w:t>
            </w:r>
          </w:p>
        </w:tc>
        <w:tc>
          <w:tcPr>
            <w:tcW w:w="117"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7"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3"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396.7 </w:t>
            </w:r>
          </w:p>
        </w:tc>
        <w:tc>
          <w:tcPr>
            <w:tcW w:w="117"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Insured Obligations and Premiums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HG Global segment’s insured obligations as of June 30, 2026 and December 31, 2025:</w:t>
      </w:r>
    </w:p>
    <w:tbl>
      <w:tblPr>
        <w:tblW w:w="8297" w:type="dxa"/>
        <w:jc w:val="center"/>
        <w:tblInd w:w="0" w:type="dxa"/>
        <w:tblLayout w:type="fixed"/>
        <w:tblCellMar>
          <w:top w:w="28" w:type="dxa"/>
          <w:left w:w="28" w:type="dxa"/>
          <w:bottom w:w="28" w:type="dxa"/>
          <w:right w:w="28" w:type="dxa"/>
        </w:tblCellMar>
      </w:tblPr>
      <w:tblGrid>
        <w:gridCol w:w="1733"/>
        <w:gridCol w:w="1523"/>
        <w:gridCol w:w="1528"/>
        <w:gridCol w:w="109"/>
        <w:gridCol w:w="109"/>
        <w:gridCol w:w="109"/>
        <w:gridCol w:w="211"/>
        <w:gridCol w:w="886"/>
        <w:gridCol w:w="109"/>
        <w:gridCol w:w="109"/>
        <w:gridCol w:w="109"/>
        <w:gridCol w:w="109"/>
        <w:gridCol w:w="265"/>
        <w:gridCol w:w="1097"/>
        <w:gridCol w:w="137"/>
        <w:gridCol w:w="154"/>
      </w:tblGrid>
      <w:tr>
        <w:trPr/>
        <w:tc>
          <w:tcPr>
            <w:tcW w:w="1733"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18,208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17,377 </w:t>
            </w:r>
          </w:p>
        </w:tc>
        <w:tc>
          <w:tcPr>
            <w:tcW w:w="1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Remaining weighted average contract period (in years)</w:t>
            </w:r>
            <w:r>
              <w:rPr>
                <w:color w:val="000000"/>
              </w:rPr>
              <w:t xml:space="preserve"> </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Outstanding par value of policies assumed (in millions)</w:t>
            </w:r>
            <w:r>
              <w:rPr>
                <w:color w:val="000000"/>
              </w:rPr>
              <w:t xml:space="preserve"> </w:t>
            </w:r>
            <w:r>
              <w:rPr>
                <w:rFonts w:ascii="Times New Roman;serif" w:hAnsi="Times New Roman;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21,429.0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20,559.9 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unearned insurance premiums (in millions)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331.8</w:t>
            </w:r>
            <w:r>
              <w:rPr>
                <w:color w:val="000000"/>
              </w:rPr>
              <w:t>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5"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7"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327.9 </w:t>
            </w:r>
          </w:p>
        </w:tc>
        <w:tc>
          <w:tcPr>
            <w:tcW w:w="137"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The remaining weighted average contract period was calculated using total contractual debt service outstanding, including principal and interest.</w:t>
      </w:r>
    </w:p>
    <w:p>
      <w:pPr>
        <w:pStyle w:val="TextBody"/>
        <w:bidi w:val="0"/>
        <w:spacing w:lineRule="auto" w:line="288" w:before="0" w:after="0"/>
        <w:ind w:left="0" w:right="0" w:hanging="18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Under the FLRT, HG Re provides first-loss reinsurance protection of up to 15%-of-par outstanding for each policy assumed from BAM. For capital appreciation bonds, par is adjusted to the estimated equivalent par value for current interest paying bonds.</w:t>
      </w:r>
    </w:p>
    <w:p>
      <w:pPr>
        <w:pStyle w:val="TextBody"/>
        <w:bidi w:val="0"/>
        <w:spacing w:before="0" w:after="0"/>
        <w:ind w:left="0" w:right="0" w:hanging="27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HG Global segment’s future premium revenues as of June 30, 2026:</w:t>
      </w:r>
    </w:p>
    <w:tbl>
      <w:tblPr>
        <w:tblW w:w="4976" w:type="dxa"/>
        <w:jc w:val="center"/>
        <w:tblInd w:w="0" w:type="dxa"/>
        <w:tblLayout w:type="fixed"/>
        <w:tblCellMar>
          <w:top w:w="28" w:type="dxa"/>
          <w:left w:w="28" w:type="dxa"/>
          <w:bottom w:w="28" w:type="dxa"/>
          <w:right w:w="28" w:type="dxa"/>
        </w:tblCellMar>
      </w:tblPr>
      <w:tblGrid>
        <w:gridCol w:w="1256"/>
        <w:gridCol w:w="1105"/>
        <w:gridCol w:w="1118"/>
        <w:gridCol w:w="109"/>
        <w:gridCol w:w="109"/>
        <w:gridCol w:w="109"/>
        <w:gridCol w:w="248"/>
        <w:gridCol w:w="741"/>
        <w:gridCol w:w="181"/>
      </w:tblGrid>
      <w:tr>
        <w:trPr/>
        <w:tc>
          <w:tcPr>
            <w:tcW w:w="1256"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 2026 - December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2031 and 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216.8 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unearned insurance premiums</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331.8</w:t>
            </w:r>
            <w:r>
              <w:rPr>
                <w:color w:val="000000"/>
              </w:rPr>
              <w:t> </w:t>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gross written premiums and gross earned premiums included in the HG Global segment for the three and six months ended June 30, 2026 and 2025: </w:t>
      </w:r>
    </w:p>
    <w:tbl>
      <w:tblPr>
        <w:tblW w:w="7052" w:type="dxa"/>
        <w:jc w:val="center"/>
        <w:tblInd w:w="0" w:type="dxa"/>
        <w:tblLayout w:type="fixed"/>
        <w:tblCellMar>
          <w:top w:w="28" w:type="dxa"/>
          <w:left w:w="28" w:type="dxa"/>
          <w:bottom w:w="28" w:type="dxa"/>
          <w:right w:w="28" w:type="dxa"/>
        </w:tblCellMar>
      </w:tblPr>
      <w:tblGrid>
        <w:gridCol w:w="732"/>
        <w:gridCol w:w="643"/>
        <w:gridCol w:w="650"/>
        <w:gridCol w:w="109"/>
        <w:gridCol w:w="109"/>
        <w:gridCol w:w="109"/>
        <w:gridCol w:w="238"/>
        <w:gridCol w:w="594"/>
        <w:gridCol w:w="123"/>
        <w:gridCol w:w="123"/>
        <w:gridCol w:w="123"/>
        <w:gridCol w:w="123"/>
        <w:gridCol w:w="238"/>
        <w:gridCol w:w="577"/>
        <w:gridCol w:w="123"/>
        <w:gridCol w:w="109"/>
        <w:gridCol w:w="109"/>
        <w:gridCol w:w="109"/>
        <w:gridCol w:w="217"/>
        <w:gridCol w:w="543"/>
        <w:gridCol w:w="112"/>
        <w:gridCol w:w="112"/>
        <w:gridCol w:w="112"/>
        <w:gridCol w:w="112"/>
        <w:gridCol w:w="217"/>
        <w:gridCol w:w="527"/>
        <w:gridCol w:w="159"/>
      </w:tblGrid>
      <w:tr>
        <w:trPr/>
        <w:tc>
          <w:tcPr>
            <w:tcW w:w="732"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19.3</w:t>
            </w: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written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w:t>
            </w:r>
            <w:r>
              <w:rPr>
                <w:color w:val="000000"/>
              </w:rPr>
              <w:t>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19.3</w:t>
            </w:r>
            <w:r>
              <w:rPr>
                <w:color w:val="000000"/>
              </w:rPr>
              <w:t>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Earned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3"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15.4</w:t>
            </w: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Gross earned premiums</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w:t>
            </w:r>
            <w:r>
              <w:rPr>
                <w:color w:val="000000"/>
              </w:rPr>
              <w:t> </w:t>
            </w:r>
          </w:p>
        </w:tc>
        <w:tc>
          <w:tcPr>
            <w:tcW w:w="1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15.4</w:t>
            </w:r>
            <w:r>
              <w:rPr>
                <w:color w:val="000000"/>
              </w:rPr>
              <w:t> </w:t>
            </w:r>
          </w:p>
        </w:tc>
        <w:tc>
          <w:tcPr>
            <w:tcW w:w="1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Note 11. Earnings Per Share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White Mountains calculates earnings per share using the two-class method, which allocates earnings between common shares and unvested restricted common shares. Both classes of shares participate equally in dividends and earnings on a per share basis. Basic earnings per share amounts are based on the weighted average number of common shares outstanding adjusted for unvested restricted common shares.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Company’s computation of earnings per share for the three and six months ended June 30, 2026 and 2025. </w:t>
      </w:r>
    </w:p>
    <w:tbl>
      <w:tblPr>
        <w:tblW w:w="10205" w:type="dxa"/>
        <w:jc w:val="left"/>
        <w:tblInd w:w="0" w:type="dxa"/>
        <w:tblLayout w:type="fixed"/>
        <w:tblCellMar>
          <w:top w:w="28" w:type="dxa"/>
          <w:left w:w="28" w:type="dxa"/>
          <w:bottom w:w="28" w:type="dxa"/>
          <w:right w:w="28" w:type="dxa"/>
        </w:tblCellMar>
      </w:tblPr>
      <w:tblGrid>
        <w:gridCol w:w="1859"/>
        <w:gridCol w:w="1588"/>
        <w:gridCol w:w="1593"/>
        <w:gridCol w:w="109"/>
        <w:gridCol w:w="109"/>
        <w:gridCol w:w="109"/>
        <w:gridCol w:w="214"/>
        <w:gridCol w:w="641"/>
        <w:gridCol w:w="110"/>
        <w:gridCol w:w="110"/>
        <w:gridCol w:w="110"/>
        <w:gridCol w:w="110"/>
        <w:gridCol w:w="214"/>
        <w:gridCol w:w="626"/>
        <w:gridCol w:w="110"/>
        <w:gridCol w:w="109"/>
        <w:gridCol w:w="109"/>
        <w:gridCol w:w="109"/>
        <w:gridCol w:w="211"/>
        <w:gridCol w:w="631"/>
        <w:gridCol w:w="109"/>
        <w:gridCol w:w="109"/>
        <w:gridCol w:w="109"/>
        <w:gridCol w:w="109"/>
        <w:gridCol w:w="211"/>
        <w:gridCol w:w="616"/>
        <w:gridCol w:w="161"/>
      </w:tblGrid>
      <w:tr>
        <w:trPr/>
        <w:tc>
          <w:tcPr>
            <w:tcW w:w="1859"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and diluted earnings per share numerators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White Mountains’s common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199.5</w:t>
            </w: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172.3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156.8 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Adjustment for redeemable noncontrolling interests </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(2.9)</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Allocation of (earnings) losses to participating restricted common shares </w:t>
            </w:r>
            <w:r>
              <w:rPr>
                <w:rFonts w:ascii="Times New Roman;serif" w:hAnsi="Times New Roman;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and diluted earnings (losses) per share numerators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194.0</w:t>
            </w:r>
            <w:r>
              <w:rPr>
                <w:color w:val="000000"/>
              </w:rPr>
              <w:t>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earnings per share denominators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average common shares outstanding during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2,439.3</w:t>
            </w: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2,574.3 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2,456.0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2,570.7 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Average unvested restricted common shares </w:t>
            </w:r>
            <w:r>
              <w:rPr>
                <w:rFonts w:ascii="Times New Roman;serif" w:hAnsi="Times New Roman;serif"/>
                <w:b w:val="false"/>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(31.7)</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(losses) per share denominator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2,407.6</w:t>
            </w:r>
            <w:r>
              <w:rPr>
                <w:color w:val="000000"/>
              </w:rPr>
              <w:t>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2,541.4 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2,427.4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2,541.2 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earnings per share denominator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average common shares outstanding during the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2,439.3</w:t>
            </w: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2,574.3 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2,456.0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2,570.7 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Average unvested restricted common shares </w:t>
            </w:r>
            <w:r>
              <w:rPr>
                <w:rFonts w:ascii="Times New Roman;serif" w:hAnsi="Times New Roman;serif"/>
                <w:b w:val="false"/>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(31.7)</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(losses) per share denominator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2,407.6</w:t>
            </w:r>
            <w:r>
              <w:rPr>
                <w:color w:val="000000"/>
              </w:rPr>
              <w:t>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2,541.4 </w:t>
            </w:r>
          </w:p>
        </w:tc>
        <w:tc>
          <w:tcPr>
            <w:tcW w:w="11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2,427.4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2,541.2 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and diluted earnings per share (in dollars):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Distributed earnings - dividends declared and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Undistributed earnings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80.58</w:t>
            </w:r>
            <w:r>
              <w:rPr>
                <w:color w:val="000000"/>
              </w:rPr>
              <w:t>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47.75 </w:t>
            </w:r>
          </w:p>
        </w:tc>
        <w:tc>
          <w:tcPr>
            <w:tcW w:w="11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66.36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59.99 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and diluted earnings (losses) per share </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80.58</w:t>
            </w:r>
            <w:r>
              <w:rPr>
                <w:color w:val="000000"/>
              </w:rPr>
              <w:t> </w:t>
            </w:r>
          </w:p>
        </w:tc>
        <w:tc>
          <w:tcPr>
            <w:tcW w:w="1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47.75 </w:t>
            </w:r>
          </w:p>
        </w:tc>
        <w:tc>
          <w:tcPr>
            <w:tcW w:w="1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67.36</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60.99 </w:t>
            </w:r>
          </w:p>
        </w:tc>
        <w:tc>
          <w:tcPr>
            <w:tcW w:w="1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18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White Mountains recognizes an adjustment to the carrying value of the redeemable noncontrolling interests to the extent that the carrying value is below the redemption value. When calculating basic and diluted earnings per share, the adjustment for redeemable noncontrolling interests is treated as being akin to a dividend and presented as an adjustment to net income (loss) attributable to White Mountains’s common shareholders.</w:t>
      </w:r>
    </w:p>
    <w:p>
      <w:pPr>
        <w:pStyle w:val="TextBody"/>
        <w:bidi w:val="0"/>
        <w:spacing w:lineRule="auto" w:line="288" w:before="0" w:after="0"/>
        <w:ind w:left="0" w:right="0" w:hanging="18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Restricted shares issued by White Mountains receive dividends, and therefore, are considered participating securities.</w:t>
      </w:r>
    </w:p>
    <w:p>
      <w:pPr>
        <w:pStyle w:val="TextBody"/>
        <w:bidi w:val="0"/>
        <w:spacing w:lineRule="auto" w:line="288" w:before="0" w:after="0"/>
        <w:ind w:left="0" w:right="0" w:hanging="270"/>
        <w:jc w:val="left"/>
        <w:rPr/>
      </w:pPr>
      <w:r>
        <w:rPr>
          <w:rFonts w:ascii="Times New Roman;serif" w:hAnsi="Times New Roman;serif"/>
          <w:b w:val="false"/>
          <w:color w:val="000000"/>
          <w:sz w:val="10"/>
        </w:rPr>
        <w:t xml:space="preserve">(3) </w:t>
      </w:r>
      <w:r>
        <w:rPr>
          <w:rFonts w:ascii="Times New Roman;serif" w:hAnsi="Times New Roman;serif"/>
          <w:b w:val="false"/>
          <w:color w:val="000000"/>
          <w:sz w:val="16"/>
        </w:rPr>
        <w:t xml:space="preserve">Restricted shares outstanding vest upon a stated date. See </w:t>
      </w:r>
      <w:r>
        <w:rPr>
          <w:rFonts w:ascii="Times New Roman;serif" w:hAnsi="Times New Roman;serif"/>
          <w:b/>
          <w:color w:val="000000"/>
          <w:sz w:val="16"/>
        </w:rPr>
        <w:t>Note 12 — “Employee Share-Based Incentive Compensation Plans.”</w:t>
      </w:r>
    </w:p>
    <w:p>
      <w:pPr>
        <w:pStyle w:val="TextBody"/>
        <w:bidi w:val="0"/>
        <w:spacing w:before="0" w:after="0"/>
        <w:ind w:left="0" w:right="0" w:hanging="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undistributed net earnings (losses) for the three and six months ended June 30, 2026 and 2025. </w:t>
      </w:r>
    </w:p>
    <w:tbl>
      <w:tblPr>
        <w:tblW w:w="10205" w:type="dxa"/>
        <w:jc w:val="left"/>
        <w:tblInd w:w="0" w:type="dxa"/>
        <w:tblLayout w:type="fixed"/>
        <w:tblCellMar>
          <w:top w:w="28" w:type="dxa"/>
          <w:left w:w="28" w:type="dxa"/>
          <w:bottom w:w="28" w:type="dxa"/>
          <w:right w:w="28" w:type="dxa"/>
        </w:tblCellMar>
      </w:tblPr>
      <w:tblGrid>
        <w:gridCol w:w="1826"/>
        <w:gridCol w:w="1608"/>
        <w:gridCol w:w="1621"/>
        <w:gridCol w:w="109"/>
        <w:gridCol w:w="109"/>
        <w:gridCol w:w="109"/>
        <w:gridCol w:w="212"/>
        <w:gridCol w:w="637"/>
        <w:gridCol w:w="109"/>
        <w:gridCol w:w="109"/>
        <w:gridCol w:w="109"/>
        <w:gridCol w:w="109"/>
        <w:gridCol w:w="212"/>
        <w:gridCol w:w="622"/>
        <w:gridCol w:w="109"/>
        <w:gridCol w:w="109"/>
        <w:gridCol w:w="109"/>
        <w:gridCol w:w="109"/>
        <w:gridCol w:w="211"/>
        <w:gridCol w:w="631"/>
        <w:gridCol w:w="109"/>
        <w:gridCol w:w="109"/>
        <w:gridCol w:w="109"/>
        <w:gridCol w:w="109"/>
        <w:gridCol w:w="211"/>
        <w:gridCol w:w="616"/>
        <w:gridCol w:w="163"/>
      </w:tblGrid>
      <w:tr>
        <w:trPr/>
        <w:tc>
          <w:tcPr>
            <w:tcW w:w="1826"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0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Undistributed net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earnings (losses) available to White Mountains’s common shareholders, net of restricted common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7"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194.0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155.0 </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Dividends declared, net of restricted common share amounts </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6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5"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undistributed net earnings (losses), net of restricted common share amounts</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194.0</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161.1</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152.5 </w:t>
            </w:r>
          </w:p>
        </w:tc>
        <w:tc>
          <w:tcPr>
            <w:tcW w:w="1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27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Restricted shares issued by White Mountains receive dividends, and therefore, are considered participating securities.</w:t>
      </w:r>
    </w:p>
    <w:p>
      <w:pPr>
        <w:pStyle w:val="TextBody"/>
        <w:bidi w:val="0"/>
        <w:spacing w:before="0" w:after="0"/>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Note 12. Employee Share-Based Incentive Compensation Plans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White Mountains’s share-based incentive compensation plans are designed to incentivize key employees to maximize shareholder value over long periods of time. White Mountains believes that this is best pursued by utilizing a pay-for-performance program that closely aligns the financial interests of management with those of its shareholders while rewarding appropriate risk taking. White Mountains accomplishes this by emphasizing variable long-term compensation that is contingent on performance over a number of years rather than fixed entitlements. White Mountains expenses all its share-based compensation. As a result, White Mountains’s calculation of its owners’ returns includes the expense of all outstanding share-based compensation awards.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WTM Incentive Plan provides for grants of various types of share-based and non-share-based incentive awards to key employees and directors of White Mountains. As of June 30, 2026 and 2025, White Mountains’s share-based incentive compensation awards consist of performance shares and restricted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Performance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Performance shares are designed to reward employees for meeting company-wide performance targets. Performance shares are conditional grants of a specified maximum number of common shares or an equivalent amount of cash. Awards generally vest at the end of a three-year service period, are subject to the attainment of pre-specified performance goals and are valued based on the market value of common shares at the time awards are paid. Performance shares earned under the WTM Incentive Plan are typically paid in cash but may be paid in common shares. Compensation expense is recognized for the vested portion of the awards over the related service periods. The level of payout ranges from zero to two times the number of shares initially granted, depending on White Mountains’s financial performance. Performance shares become payable at the conclusion of a performance cycle (typically three years) if pre-defined financial targets are met.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performance measure used for determining performance share payouts is the growth in compensation value per share (“CVPS”). Prior to 2025, CVPS was calculated as the average of the growth in adjusted book value per share and the growth in intrinsic value per share. Intrinsic value per share is calculated by adjusting White Mountains’s book value per share for differences between the book value of certain assets and liabilities and White Mountains’s estimate of their underlying intrinsic value. For calendar years beginning with 2025, White Mountains has replaced growth in adjusted book value per share with growth in book value per share in the calculation of CVPS. For example, for the 2024-2026 performance cycle, adjusted book value per share growth would be used in the calculation of CVPS for calendar year 2024, and book value per share growth would be used for calendar years 2025 and 2026.</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performance share activity for the three and six months ended June 30, 2026 and 2025 for performance shares granted under the WTM Incentive Plan:</w:t>
      </w:r>
    </w:p>
    <w:tbl>
      <w:tblPr>
        <w:tblW w:w="11000" w:type="dxa"/>
        <w:jc w:val="left"/>
        <w:tblInd w:w="0" w:type="dxa"/>
        <w:tblLayout w:type="fixed"/>
        <w:tblCellMar>
          <w:top w:w="28" w:type="dxa"/>
          <w:left w:w="28" w:type="dxa"/>
          <w:bottom w:w="28" w:type="dxa"/>
          <w:right w:w="28" w:type="dxa"/>
        </w:tblCellMar>
      </w:tblPr>
      <w:tblGrid>
        <w:gridCol w:w="528"/>
        <w:gridCol w:w="272"/>
        <w:gridCol w:w="221"/>
        <w:gridCol w:w="109"/>
        <w:gridCol w:w="109"/>
        <w:gridCol w:w="109"/>
        <w:gridCol w:w="350"/>
        <w:gridCol w:w="350"/>
        <w:gridCol w:w="351"/>
        <w:gridCol w:w="109"/>
        <w:gridCol w:w="109"/>
        <w:gridCol w:w="109"/>
        <w:gridCol w:w="196"/>
        <w:gridCol w:w="481"/>
        <w:gridCol w:w="109"/>
        <w:gridCol w:w="109"/>
        <w:gridCol w:w="109"/>
        <w:gridCol w:w="109"/>
        <w:gridCol w:w="350"/>
        <w:gridCol w:w="350"/>
        <w:gridCol w:w="351"/>
        <w:gridCol w:w="109"/>
        <w:gridCol w:w="109"/>
        <w:gridCol w:w="109"/>
        <w:gridCol w:w="196"/>
        <w:gridCol w:w="466"/>
        <w:gridCol w:w="109"/>
        <w:gridCol w:w="109"/>
        <w:gridCol w:w="109"/>
        <w:gridCol w:w="109"/>
        <w:gridCol w:w="350"/>
        <w:gridCol w:w="350"/>
        <w:gridCol w:w="351"/>
        <w:gridCol w:w="109"/>
        <w:gridCol w:w="109"/>
        <w:gridCol w:w="109"/>
        <w:gridCol w:w="196"/>
        <w:gridCol w:w="481"/>
        <w:gridCol w:w="109"/>
        <w:gridCol w:w="109"/>
        <w:gridCol w:w="109"/>
        <w:gridCol w:w="109"/>
        <w:gridCol w:w="350"/>
        <w:gridCol w:w="350"/>
        <w:gridCol w:w="351"/>
        <w:gridCol w:w="109"/>
        <w:gridCol w:w="109"/>
        <w:gridCol w:w="109"/>
        <w:gridCol w:w="196"/>
        <w:gridCol w:w="466"/>
        <w:gridCol w:w="154"/>
      </w:tblGrid>
      <w:tr>
        <w:trPr/>
        <w:tc>
          <w:tcPr>
            <w:tcW w:w="52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0"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5"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Target Performance</w:t>
              <w:br/>
              <w:t>Shares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Accrued</w:t>
              <w:br/>
              <w:t>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Target Performance</w:t>
              <w:br/>
              <w:t>Shares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Accrued</w:t>
              <w:br/>
              <w:t>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Target Performance</w:t>
              <w:br/>
              <w:t>Shares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Accrued</w:t>
              <w:br/>
              <w:t>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Target Performance</w:t>
              <w:br/>
              <w:t>Shares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Accrued</w:t>
              <w:br/>
              <w:t>Expense</w:t>
            </w:r>
          </w:p>
        </w:tc>
      </w:tr>
      <w:tr>
        <w:trPr/>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31,215</w:t>
            </w:r>
            <w:r>
              <w:rPr>
                <w:color w:val="000000"/>
              </w:rPr>
              <w:t> </w:t>
            </w:r>
          </w:p>
        </w:tc>
        <w:tc>
          <w:tcPr>
            <w:tcW w:w="3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42.6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32,392 </w:t>
            </w:r>
          </w:p>
        </w:tc>
        <w:tc>
          <w:tcPr>
            <w:tcW w:w="3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32,416</w:t>
            </w:r>
            <w:r>
              <w:rPr>
                <w:color w:val="000000"/>
              </w:rPr>
              <w:t> </w:t>
            </w:r>
          </w:p>
        </w:tc>
        <w:tc>
          <w:tcPr>
            <w:tcW w:w="3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73.2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34,859 </w:t>
            </w:r>
          </w:p>
        </w:tc>
        <w:tc>
          <w:tcPr>
            <w:tcW w:w="35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Shares paid or expired </w:t>
            </w:r>
            <w:r>
              <w:rPr>
                <w:rFonts w:ascii="Times New Roman;serif" w:hAnsi="Times New Roman;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(10,835)</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(44.1)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(13,150)</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New grants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9,615</w:t>
            </w: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10,645 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Forfeitures and cancellations </w:t>
            </w:r>
            <w:r>
              <w:rPr>
                <w:rFonts w:ascii="Times New Roman;serif" w:hAnsi="Times New Roman;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(25)</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Expense recognized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 of period</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31,190</w:t>
            </w:r>
            <w:r>
              <w:rPr>
                <w:color w:val="000000"/>
              </w:rPr>
              <w:t> </w:t>
            </w:r>
          </w:p>
        </w:tc>
        <w:tc>
          <w:tcPr>
            <w:tcW w:w="3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48.0</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32,392 </w:t>
            </w:r>
          </w:p>
        </w:tc>
        <w:tc>
          <w:tcPr>
            <w:tcW w:w="3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31,190</w:t>
            </w:r>
            <w:r>
              <w:rPr>
                <w:color w:val="000000"/>
              </w:rPr>
              <w:t> </w:t>
            </w:r>
          </w:p>
        </w:tc>
        <w:tc>
          <w:tcPr>
            <w:tcW w:w="3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48.0</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32,392 </w:t>
            </w:r>
          </w:p>
        </w:tc>
        <w:tc>
          <w:tcPr>
            <w:tcW w:w="3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29.8 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18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WTM performance share payments for the 2023-2025 performance cycle were made in March 2026 at 184% of target. WTM performance share payments for the 2022-2024 performance cycle were made in March 2025 at 200% of target. </w:t>
      </w:r>
    </w:p>
    <w:p>
      <w:pPr>
        <w:pStyle w:val="TextBody"/>
        <w:bidi w:val="0"/>
        <w:spacing w:lineRule="auto" w:line="288" w:before="0" w:after="0"/>
        <w:jc w:val="left"/>
        <w:rPr/>
      </w:pPr>
      <w:r>
        <w:rPr>
          <w:rFonts w:ascii="Times New Roman;serif" w:hAnsi="Times New Roman;serif"/>
          <w:b w:val="false"/>
          <w:color w:val="000000"/>
          <w:sz w:val="10"/>
        </w:rPr>
        <w:t xml:space="preserve">(2) </w:t>
      </w:r>
      <w:r>
        <w:rPr>
          <w:rFonts w:ascii="Times New Roman;serif" w:hAnsi="Times New Roman;serif"/>
          <w:b w:val="false"/>
          <w:color w:val="000000"/>
          <w:sz w:val="16"/>
        </w:rPr>
        <w:t>Amounts include changes in assumed forfeitures, as required under GAAP.</w:t>
      </w:r>
    </w:p>
    <w:p>
      <w:pPr>
        <w:pStyle w:val="TextBody"/>
        <w:bidi w:val="0"/>
        <w:spacing w:before="0" w:after="0"/>
        <w:ind w:left="0" w:right="0" w:hanging="18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White Mountains granted 9,615 performance shares for the 2026-2028 performance cycle. During the six months ended June 30, 2025, White Mountains granted 10,645 performance shares for the 2025-2027 performance cycle.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2023-2025 performance cycle, all performance shares earned were settled in cash. For the 2022-2024 performance cycle, the Company issued common shares for 30 performance shares earned, and all other performance shares earned were settled in cash. If all outstanding performance shares had vested on June 30, 2026, the total additional compensation cost to be recognized would have been $41.6 million, based on accrual factors as of June 30, 2026 (common share price and payout assumptions).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performance shares outstanding and accrued expense for performance shares awarded under the WTM Incentive Plan as of June 30, 2026 for each performance cycle:</w:t>
      </w:r>
    </w:p>
    <w:tbl>
      <w:tblPr>
        <w:tblW w:w="4648" w:type="dxa"/>
        <w:jc w:val="center"/>
        <w:tblInd w:w="0" w:type="dxa"/>
        <w:tblLayout w:type="fixed"/>
        <w:tblCellMar>
          <w:top w:w="28" w:type="dxa"/>
          <w:left w:w="28" w:type="dxa"/>
          <w:bottom w:w="28" w:type="dxa"/>
          <w:right w:w="28" w:type="dxa"/>
        </w:tblCellMar>
      </w:tblPr>
      <w:tblGrid>
        <w:gridCol w:w="569"/>
        <w:gridCol w:w="501"/>
        <w:gridCol w:w="504"/>
        <w:gridCol w:w="109"/>
        <w:gridCol w:w="109"/>
        <w:gridCol w:w="109"/>
        <w:gridCol w:w="529"/>
        <w:gridCol w:w="529"/>
        <w:gridCol w:w="531"/>
        <w:gridCol w:w="109"/>
        <w:gridCol w:w="109"/>
        <w:gridCol w:w="109"/>
        <w:gridCol w:w="196"/>
        <w:gridCol w:w="481"/>
        <w:gridCol w:w="154"/>
      </w:tblGrid>
      <w:tr>
        <w:trPr/>
        <w:tc>
          <w:tcPr>
            <w:tcW w:w="56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Target Performance</w:t>
              <w:br/>
              <w:t>Shares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Accrued</w:t>
              <w:br/>
              <w:t>Expense</w:t>
            </w:r>
          </w:p>
        </w:tc>
      </w:tr>
      <w:tr>
        <w:trPr/>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Performance cycle: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2024 –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11,405 </w:t>
            </w:r>
          </w:p>
        </w:tc>
        <w:tc>
          <w:tcPr>
            <w:tcW w:w="5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2025 – 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10,670 </w:t>
            </w:r>
          </w:p>
        </w:tc>
        <w:tc>
          <w:tcPr>
            <w:tcW w:w="5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2026 –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9,590 </w:t>
            </w:r>
          </w:p>
        </w:tc>
        <w:tc>
          <w:tcPr>
            <w:tcW w:w="5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Sub-total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31,665 </w:t>
            </w:r>
          </w:p>
        </w:tc>
        <w:tc>
          <w:tcPr>
            <w:tcW w:w="5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Assumed forfeitures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w:t>
            </w:r>
          </w:p>
        </w:tc>
        <w:tc>
          <w:tcPr>
            <w:tcW w:w="5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31,190</w:t>
            </w:r>
            <w:r>
              <w:rPr>
                <w:color w:val="000000"/>
              </w:rPr>
              <w:t> </w:t>
            </w:r>
          </w:p>
        </w:tc>
        <w:tc>
          <w:tcPr>
            <w:tcW w:w="5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48.0</w:t>
            </w:r>
            <w:r>
              <w:rPr>
                <w:color w:val="000000"/>
              </w:rPr>
              <w:t>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Restricted Shares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Restricted shares are grants of a specified number of common shares that generally vest at the end of a 34-month service period. The following table presents the unrecognized compensation cost associated with the outstanding restricted share awards under the WTM Incentive Plan for the three and six months ended June 30, 2026 and 2025: </w:t>
      </w:r>
    </w:p>
    <w:p>
      <w:pPr>
        <w:pStyle w:val="TextBody"/>
        <w:bidi w:val="0"/>
        <w:spacing w:before="0" w:after="0"/>
        <w:jc w:val="left"/>
        <w:rPr/>
      </w:pPr>
      <w:r>
        <w:rPr/>
      </w:r>
    </w:p>
    <w:tbl>
      <w:tblPr>
        <w:tblW w:w="11609" w:type="dxa"/>
        <w:jc w:val="center"/>
        <w:tblInd w:w="0" w:type="dxa"/>
        <w:tblLayout w:type="fixed"/>
        <w:tblCellMar>
          <w:top w:w="28" w:type="dxa"/>
          <w:left w:w="28" w:type="dxa"/>
          <w:bottom w:w="28" w:type="dxa"/>
          <w:right w:w="28" w:type="dxa"/>
        </w:tblCellMar>
      </w:tblPr>
      <w:tblGrid>
        <w:gridCol w:w="363"/>
        <w:gridCol w:w="320"/>
        <w:gridCol w:w="308"/>
        <w:gridCol w:w="109"/>
        <w:gridCol w:w="109"/>
        <w:gridCol w:w="109"/>
        <w:gridCol w:w="330"/>
        <w:gridCol w:w="331"/>
        <w:gridCol w:w="281"/>
        <w:gridCol w:w="109"/>
        <w:gridCol w:w="109"/>
        <w:gridCol w:w="109"/>
        <w:gridCol w:w="262"/>
        <w:gridCol w:w="643"/>
        <w:gridCol w:w="146"/>
        <w:gridCol w:w="109"/>
        <w:gridCol w:w="109"/>
        <w:gridCol w:w="109"/>
        <w:gridCol w:w="323"/>
        <w:gridCol w:w="323"/>
        <w:gridCol w:w="281"/>
        <w:gridCol w:w="109"/>
        <w:gridCol w:w="109"/>
        <w:gridCol w:w="109"/>
        <w:gridCol w:w="267"/>
        <w:gridCol w:w="635"/>
        <w:gridCol w:w="149"/>
        <w:gridCol w:w="109"/>
        <w:gridCol w:w="109"/>
        <w:gridCol w:w="109"/>
        <w:gridCol w:w="330"/>
        <w:gridCol w:w="331"/>
        <w:gridCol w:w="281"/>
        <w:gridCol w:w="109"/>
        <w:gridCol w:w="109"/>
        <w:gridCol w:w="109"/>
        <w:gridCol w:w="262"/>
        <w:gridCol w:w="643"/>
        <w:gridCol w:w="146"/>
        <w:gridCol w:w="109"/>
        <w:gridCol w:w="109"/>
        <w:gridCol w:w="109"/>
        <w:gridCol w:w="330"/>
        <w:gridCol w:w="331"/>
        <w:gridCol w:w="281"/>
        <w:gridCol w:w="109"/>
        <w:gridCol w:w="109"/>
        <w:gridCol w:w="109"/>
        <w:gridCol w:w="263"/>
        <w:gridCol w:w="625"/>
        <w:gridCol w:w="208"/>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2"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2"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Restricted</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Unamortized</w:t>
              <w:br/>
              <w:t xml:space="preserve">Issue Date </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Restricted</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Unamortized</w:t>
              <w:br/>
              <w:t xml:space="preserve">Issue Date </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Restricted</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Unamortized Issue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Restricted</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Unamortized Issue Date Fair Value</w:t>
            </w:r>
          </w:p>
        </w:tc>
      </w:tr>
      <w:tr>
        <w:trPr/>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Non-vested,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of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31,690</w:t>
            </w: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38.2</w:t>
            </w: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32,885 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32,910</w:t>
            </w: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4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21.0</w:t>
            </w: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35,390 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(10,835)</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(13,150)</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9,615</w:t>
            </w: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21.3</w:t>
            </w: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10,645 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(25)</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(25)</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Expense recognized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1"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 of period</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31,665</w:t>
            </w:r>
            <w:r>
              <w:rPr>
                <w:color w:val="000000"/>
              </w:rPr>
              <w:t> </w:t>
            </w:r>
          </w:p>
        </w:tc>
        <w:tc>
          <w:tcPr>
            <w:tcW w:w="2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32.7</w:t>
            </w:r>
            <w:r>
              <w:rPr>
                <w:color w:val="000000"/>
              </w:rPr>
              <w:t> </w:t>
            </w:r>
          </w:p>
        </w:tc>
        <w:tc>
          <w:tcPr>
            <w:tcW w:w="1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32,885 </w:t>
            </w:r>
          </w:p>
        </w:tc>
        <w:tc>
          <w:tcPr>
            <w:tcW w:w="2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1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31,665</w:t>
            </w:r>
            <w:r>
              <w:rPr>
                <w:color w:val="000000"/>
              </w:rPr>
              <w:t> </w:t>
            </w:r>
          </w:p>
        </w:tc>
        <w:tc>
          <w:tcPr>
            <w:tcW w:w="2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32.7</w:t>
            </w:r>
            <w:r>
              <w:rPr>
                <w:color w:val="000000"/>
              </w:rPr>
              <w:t> </w:t>
            </w:r>
          </w:p>
        </w:tc>
        <w:tc>
          <w:tcPr>
            <w:tcW w:w="1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32,885 </w:t>
            </w:r>
          </w:p>
        </w:tc>
        <w:tc>
          <w:tcPr>
            <w:tcW w:w="2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30.7 </w:t>
            </w:r>
          </w:p>
        </w:tc>
        <w:tc>
          <w:tcPr>
            <w:tcW w:w="2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White Mountains issued 9,615 restricted shares that vest on January 1, 2029. During the six months ended June 30, 2025, White Mountains issued 10,645 restricted shares that vest on January 1, 2028. The unamortized issue date fair value as of June 30, 2026 is expected to be recognized ratably over the remaining vesting periods.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Note 13. Noncontrolling Interests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Noncontrolling interests consist of the ownership interests of noncontrolling shareholders in consolidated entities. White Mountains has both redeemable and nonredeemable noncontrolling interests. Noncontrolling interests with optional redemption features that are not within White Mountains’s control are classified as redeemable noncontrolling interests, which are considered temporary equity and presented as mezzanine equity on the balance sheet. Noncontrolling interests that do not have any redemption features are classified as nonredeemable noncontrolling interests, which are considered permanent equity and included in White Mountains’s total equity on the balance sheet. Nonredeemable noncontrolling interests are presented separately from White Mountains’s common shareholders’ equity.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Redeemable Noncontrolling Interests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September 5, 2028, the third anniversary of the closing of the Distinguished Transaction, certain noncontrolling unitholders will have the option to sell additional units representing 31.3% of Distinguished’s basic units outstanding as of June 30, 2026 to White Mountains at the same unit price paid in the Distinguished Transaction less aggregate per unit distributions. As of both June 30, 2026 and December 31, 2025, the carrying value of the redeemable noncontrolling interests was $131.5 million, and the redemption value would have been $131.5 million if exercised in full.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Nonredeemable Noncontrolling Interests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nonredeemable noncontrolling interests included in White Mountains’s total equity and the related percentage of each consolidated entity’s total equity owned by noncontrolling shareholders as of June 30, 2026 and December 31, 2025:</w:t>
      </w:r>
    </w:p>
    <w:tbl>
      <w:tblPr>
        <w:tblW w:w="10205" w:type="dxa"/>
        <w:jc w:val="center"/>
        <w:tblInd w:w="0" w:type="dxa"/>
        <w:tblLayout w:type="fixed"/>
        <w:tblCellMar>
          <w:top w:w="28" w:type="dxa"/>
          <w:left w:w="28" w:type="dxa"/>
          <w:bottom w:w="28" w:type="dxa"/>
          <w:right w:w="28" w:type="dxa"/>
        </w:tblCellMar>
      </w:tblPr>
      <w:tblGrid>
        <w:gridCol w:w="716"/>
        <w:gridCol w:w="630"/>
        <w:gridCol w:w="634"/>
        <w:gridCol w:w="109"/>
        <w:gridCol w:w="109"/>
        <w:gridCol w:w="109"/>
        <w:gridCol w:w="373"/>
        <w:gridCol w:w="366"/>
        <w:gridCol w:w="1015"/>
        <w:gridCol w:w="109"/>
        <w:gridCol w:w="109"/>
        <w:gridCol w:w="109"/>
        <w:gridCol w:w="361"/>
        <w:gridCol w:w="1080"/>
        <w:gridCol w:w="187"/>
        <w:gridCol w:w="109"/>
        <w:gridCol w:w="109"/>
        <w:gridCol w:w="109"/>
        <w:gridCol w:w="388"/>
        <w:gridCol w:w="388"/>
        <w:gridCol w:w="969"/>
        <w:gridCol w:w="109"/>
        <w:gridCol w:w="109"/>
        <w:gridCol w:w="109"/>
        <w:gridCol w:w="366"/>
        <w:gridCol w:w="1072"/>
        <w:gridCol w:w="190"/>
        <w:gridCol w:w="162"/>
      </w:tblGrid>
      <w:tr>
        <w:trPr/>
        <w:tc>
          <w:tcPr>
            <w:tcW w:w="71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62"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Nonredeemable Noncontrolling Percentage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Nonredeemable Noncontrolling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Nonredeemable Noncontrolling Percentage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Nonredeemable Noncontrolling Equity</w:t>
            </w:r>
          </w:p>
        </w:tc>
        <w:tc>
          <w:tcPr>
            <w:tcW w:w="162"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Nonredeemable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Ark </w:t>
            </w:r>
            <w:r>
              <w:rPr>
                <w:rFonts w:ascii="Times New Roman;serif" w:hAnsi="Times New Roman;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27.9</w:t>
            </w:r>
            <w:r>
              <w:rPr>
                <w:color w:val="000000"/>
              </w:rPr>
              <w:t> </w:t>
            </w:r>
          </w:p>
        </w:tc>
        <w:tc>
          <w:tcPr>
            <w:tcW w:w="101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8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471.5</w:t>
            </w: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9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465.2 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Kudu </w:t>
            </w:r>
            <w:r>
              <w:rPr>
                <w:rFonts w:ascii="Times New Roman;serif" w:hAnsi="Times New Roman;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w:t>
            </w:r>
            <w:r>
              <w:rPr>
                <w:color w:val="000000"/>
              </w:rPr>
              <w:t> </w:t>
            </w:r>
          </w:p>
        </w:tc>
        <w:tc>
          <w:tcPr>
            <w:tcW w:w="101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144.1</w:t>
            </w: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9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HG Global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w:t>
            </w:r>
            <w:r>
              <w:rPr>
                <w:color w:val="000000"/>
              </w:rPr>
              <w:t> </w:t>
            </w:r>
          </w:p>
        </w:tc>
        <w:tc>
          <w:tcPr>
            <w:tcW w:w="101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(20.0)</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9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8"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8"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8"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8"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8"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8"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Distinguished </w:t>
            </w:r>
            <w:r>
              <w:rPr>
                <w:rFonts w:ascii="Times New Roman;serif" w:hAnsi="Times New Roman;serif"/>
                <w:b w:val="false"/>
                <w:color w:val="000000"/>
                <w:sz w:val="13"/>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w:t>
            </w:r>
            <w:r>
              <w:rPr>
                <w:color w:val="000000"/>
              </w:rPr>
              <w:t> </w:t>
            </w:r>
          </w:p>
        </w:tc>
        <w:tc>
          <w:tcPr>
            <w:tcW w:w="101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76.0</w:t>
            </w: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9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WTM Partners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various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55.8</w:t>
            </w: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34.5 </w:t>
            </w:r>
          </w:p>
        </w:tc>
        <w:tc>
          <w:tcPr>
            <w:tcW w:w="9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various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w:t>
            </w:r>
            <w:r>
              <w:rPr>
                <w:color w:val="000000"/>
              </w:rPr>
              <w:t>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various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nonredeemable noncontrolling interests</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732.2</w:t>
            </w:r>
            <w:r>
              <w:rPr>
                <w:color w:val="000000"/>
              </w:rPr>
              <w:t> </w:t>
            </w:r>
          </w:p>
        </w:tc>
        <w:tc>
          <w:tcPr>
            <w:tcW w:w="18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45"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698.2 </w:t>
            </w:r>
          </w:p>
        </w:tc>
        <w:tc>
          <w:tcPr>
            <w:tcW w:w="19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8"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8"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8" w:type="dxa"/>
            <w:gridSpan w:val="3"/>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18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The nonredeemable noncontrolling percentage represents the basic ownership interests held by noncontrolling shareholders with the exception of HG Global, for which the nonredeemable noncontrolling percentage represents the preferred share ownership held by noncontrolling shareholders.</w:t>
      </w:r>
    </w:p>
    <w:p>
      <w:pPr>
        <w:pStyle w:val="TextBody"/>
        <w:bidi w:val="0"/>
        <w:spacing w:lineRule="auto" w:line="288" w:before="0" w:after="0"/>
        <w:ind w:left="0" w:right="0" w:hanging="18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As of June 30, 2026 and December 31, 2025, Ark’s nonredeemable noncontrolling interests include $59.2 and $58.6 related to management’s equity incentives.</w:t>
      </w:r>
    </w:p>
    <w:p>
      <w:pPr>
        <w:pStyle w:val="TextBody"/>
        <w:bidi w:val="0"/>
        <w:spacing w:lineRule="auto" w:line="288" w:before="0" w:after="0"/>
        <w:ind w:left="0" w:right="0" w:hanging="180"/>
        <w:jc w:val="left"/>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As of June 30, 2026 and December 31, 2025, Kudu’s nonredeemable noncontrolling interests include $47.6 and $52.3 related to management’s equity incentives.</w:t>
      </w:r>
    </w:p>
    <w:p>
      <w:pPr>
        <w:pStyle w:val="TextBody"/>
        <w:bidi w:val="0"/>
        <w:spacing w:lineRule="auto" w:line="288" w:before="0" w:after="0"/>
        <w:ind w:left="0" w:right="0" w:hanging="180"/>
        <w:jc w:val="left"/>
        <w:rPr/>
      </w:pPr>
      <w:r>
        <w:rPr>
          <w:rFonts w:ascii="Times New Roman;serif" w:hAnsi="Times New Roman;serif"/>
          <w:b w:val="false"/>
          <w:color w:val="000000"/>
          <w:sz w:val="10"/>
        </w:rPr>
        <w:t>(4)</w:t>
      </w:r>
      <w:r>
        <w:rPr>
          <w:color w:val="000000"/>
        </w:rPr>
        <w:t xml:space="preserve"> </w:t>
      </w:r>
      <w:r>
        <w:rPr>
          <w:rFonts w:ascii="Times New Roman;serif" w:hAnsi="Times New Roman;serif"/>
          <w:b w:val="false"/>
          <w:color w:val="000000"/>
          <w:sz w:val="16"/>
        </w:rPr>
        <w:t>As of June 30, 2026 and December 31, 2025, Distinguished’s nonredeemable noncontrolling interests include $38.5 and $33.3 related to management’s equity incentives.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Note 14. Segment Information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White Mountains conducted its operations through five reportable segments: (1) Ark/WM Outrigger, (2) Kudu, (3) HG Global, (4) Distinguished and (5) WTM Partners, with its remaining operating businesses, holding companies and other assets included in Other Operations. White Mountains has made its segment determination based on consideration of the following criteria: (i) the nature of the business activities of each of the Company’s subsidiaries and affiliates; (ii) the manner in which the Company’s subsidiaries and affiliates are organized; (iii) the existence of primary managers responsible for specific subsidiaries and affiliates; and (iv) the organization of information provided to the Company’s CODM and the Board of Directors. The Company’s CODM is its Chief Executive Officer. The CODM utilizes each segment’s pre-tax income (loss) in assessing each segment’s performance and allocating resources. Other measures of segment profitability are also reviewed by the CODM. Significant intercompany transactions among White Mountains’s segments have been eliminated herein.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White Mountains consolidates its segregated account of Outrigger Re Ltd., WM Outrigger Re, in its financial statements. WM Outrigger Re exclusively provides reinsurance protection to Ark, and WM Outrigger Re’s quota share reinsurance agreement with GAIL eliminates in White Mountains’s consolidated financial statements. As a result, WM Outrigger Re is aggregated with Ark within the Ark/WM Outrigger segment.</w:t>
      </w:r>
    </w:p>
    <w:p>
      <w:pPr>
        <w:pStyle w:val="TextBody"/>
        <w:bidi w:val="0"/>
        <w:spacing w:lineRule="auto" w:line="288" w:before="0" w:after="0"/>
        <w:jc w:val="left"/>
        <w:rPr/>
      </w:pPr>
      <w:r>
        <w:rPr>
          <w:rFonts w:ascii="Times New Roman;serif" w:hAnsi="Times New Roman;serif"/>
          <w:b w:val="false"/>
          <w:color w:val="000000"/>
          <w:sz w:val="20"/>
        </w:rPr>
        <w:t xml:space="preserve">On September 2, 2025, White Mountains completed the Distinguished Transaction. As a result, White Mountains began consolidating Distinguished in its financial statements on September 2, 2025. See </w:t>
      </w:r>
      <w:r>
        <w:rPr>
          <w:rFonts w:ascii="Times New Roman;serif" w:hAnsi="Times New Roman;serif"/>
          <w:b/>
          <w:color w:val="000000"/>
          <w:sz w:val="20"/>
        </w:rPr>
        <w:t>Note 2 — “Significant Transactions.”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second quarter of 2026, WTM Partners completed the acquisitions of Hawkeye Electric and Basesix. As a result, WTM Partners is presented as a separate reportable segment. The CODM assesses the performance of WTM Partners’s operating companies and allocates resources in the aggregate to the WTM Partners segment. Prior period amounts have been reclassified to conform to the current period’s presentation.</w:t>
      </w:r>
    </w:p>
    <w:p>
      <w:pPr>
        <w:pStyle w:val="TextBody"/>
        <w:bidi w:val="0"/>
        <w:spacing w:lineRule="auto" w:line="288" w:before="0" w:after="0"/>
        <w:jc w:val="left"/>
        <w:rPr/>
      </w:pPr>
      <w:r>
        <w:rPr>
          <w:rFonts w:ascii="Times New Roman;serif" w:hAnsi="Times New Roman;serif"/>
          <w:b w:val="false"/>
          <w:color w:val="000000"/>
          <w:sz w:val="20"/>
        </w:rPr>
        <w:t xml:space="preserve">On December 5, 2025, White Mountains completed the Bamboo Sale Transaction. As a result, White Mountains deconsolidated the Bamboo Group on December 5, 2025, and Bamboo is no longer a reportable segment. Through December 5, 2025, Bamboo’s results of operations are presented within the Bamboo segment. White Mountains’s noncontrolling equity interest in the Bamboo SPV is accounted for at fair value in other long-term investments within Other Operations. See </w:t>
      </w:r>
      <w:r>
        <w:rPr>
          <w:rFonts w:ascii="Times New Roman;serif" w:hAnsi="Times New Roman;serif"/>
          <w:b/>
          <w:color w:val="000000"/>
          <w:sz w:val="20"/>
        </w:rPr>
        <w:t>Note 2 — “Significant Transactions.”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White Mountains’s pre-tax financial results by segment for the three and six months ended June 30, 2026 and 2025: </w:t>
      </w:r>
    </w:p>
    <w:tbl>
      <w:tblPr>
        <w:tblW w:w="10900" w:type="dxa"/>
        <w:jc w:val="left"/>
        <w:tblInd w:w="0" w:type="dxa"/>
        <w:tblLayout w:type="fixed"/>
        <w:tblCellMar>
          <w:top w:w="28" w:type="dxa"/>
          <w:left w:w="28" w:type="dxa"/>
          <w:bottom w:w="28" w:type="dxa"/>
          <w:right w:w="28" w:type="dxa"/>
        </w:tblCellMar>
      </w:tblPr>
      <w:tblGrid>
        <w:gridCol w:w="670"/>
        <w:gridCol w:w="220"/>
        <w:gridCol w:w="221"/>
        <w:gridCol w:w="109"/>
        <w:gridCol w:w="109"/>
        <w:gridCol w:w="109"/>
        <w:gridCol w:w="211"/>
        <w:gridCol w:w="616"/>
        <w:gridCol w:w="109"/>
        <w:gridCol w:w="109"/>
        <w:gridCol w:w="109"/>
        <w:gridCol w:w="109"/>
        <w:gridCol w:w="244"/>
        <w:gridCol w:w="470"/>
        <w:gridCol w:w="127"/>
        <w:gridCol w:w="109"/>
        <w:gridCol w:w="109"/>
        <w:gridCol w:w="109"/>
        <w:gridCol w:w="211"/>
        <w:gridCol w:w="511"/>
        <w:gridCol w:w="109"/>
        <w:gridCol w:w="109"/>
        <w:gridCol w:w="109"/>
        <w:gridCol w:w="109"/>
        <w:gridCol w:w="211"/>
        <w:gridCol w:w="511"/>
        <w:gridCol w:w="109"/>
        <w:gridCol w:w="109"/>
        <w:gridCol w:w="109"/>
        <w:gridCol w:w="109"/>
        <w:gridCol w:w="265"/>
        <w:gridCol w:w="662"/>
        <w:gridCol w:w="139"/>
        <w:gridCol w:w="109"/>
        <w:gridCol w:w="109"/>
        <w:gridCol w:w="109"/>
        <w:gridCol w:w="213"/>
        <w:gridCol w:w="411"/>
        <w:gridCol w:w="112"/>
        <w:gridCol w:w="109"/>
        <w:gridCol w:w="109"/>
        <w:gridCol w:w="109"/>
        <w:gridCol w:w="211"/>
        <w:gridCol w:w="616"/>
        <w:gridCol w:w="109"/>
        <w:gridCol w:w="109"/>
        <w:gridCol w:w="109"/>
        <w:gridCol w:w="109"/>
        <w:gridCol w:w="211"/>
        <w:gridCol w:w="631"/>
        <w:gridCol w:w="154"/>
      </w:tblGrid>
      <w:tr>
        <w:trPr/>
        <w:tc>
          <w:tcPr>
            <w:tcW w:w="67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Ark/WM Outrigger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WM Outrigger 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Kudu</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HG Global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Distinguished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WTM Partners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Earned insurance premiums </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384.6</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Net investment income </w:t>
            </w:r>
            <w:r>
              <w:rPr>
                <w:rFonts w:ascii="Times New Roman;serif" w:hAnsi="Times New Roman;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70.9</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6"/>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 xml:space="preserve">Net realized and unrealized </w:t>
            </w:r>
          </w:p>
          <w:p>
            <w:pPr>
              <w:pStyle w:val="TableContents"/>
              <w:bidi w:val="0"/>
              <w:spacing w:lineRule="auto" w:line="240" w:before="0" w:after="0"/>
              <w:ind w:left="0" w:right="0" w:hanging="90"/>
              <w:jc w:val="left"/>
              <w:rPr/>
            </w:pPr>
            <w:r>
              <w:rPr>
                <w:color w:val="000000"/>
              </w:rPr>
              <w:t>   </w:t>
            </w:r>
            <w:r>
              <w:rPr>
                <w:rFonts w:ascii="Times New Roman;serif" w:hAnsi="Times New Roman;serif"/>
                <w:b w:val="false"/>
                <w:color w:val="000000"/>
                <w:sz w:val="16"/>
              </w:rPr>
              <w:t xml:space="preserve">investment gains (losses) </w:t>
            </w:r>
            <w:r>
              <w:rPr>
                <w:rFonts w:ascii="Times New Roman;serif" w:hAnsi="Times New Roman;serif"/>
                <w:b w:val="false"/>
                <w:color w:val="000000"/>
                <w:sz w:val="10"/>
              </w:rPr>
              <w:t>(2)</w:t>
            </w:r>
            <w:r>
              <w:rPr>
                <w:color w:val="000000"/>
              </w:rPr>
              <w:t xml:space="preserve"> </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150.6</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Net realized and unrealized investment </w:t>
              <w:br/>
              <w:t xml:space="preserve">   gains (losses) from investment in </w:t>
              <w:br/>
              <w:t>   MediaAlpha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58.4</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 from BAM Surplus Notes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Commission and fee revenues </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60.4</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Product and services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107.5</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 revenues</w:t>
            </w:r>
            <w:r>
              <w:rPr>
                <w:color w:val="000000"/>
              </w:rPr>
              <w:t xml:space="preserve"> </w:t>
            </w:r>
            <w:r>
              <w:rPr>
                <w:rFonts w:ascii="Times New Roman;serif" w:hAnsi="Times New Roman;serif"/>
                <w:b w:val="false"/>
                <w:color w:val="000000"/>
                <w:sz w:val="10"/>
              </w:rPr>
              <w:t>(1)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Total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13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844.6</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Loss and LAE </w:t>
            </w:r>
            <w:r>
              <w:rPr>
                <w:rFonts w:ascii="Times New Roman;serif" w:hAnsi="Times New Roman;serif"/>
                <w:b w:val="false"/>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175.7</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Insurance acquisition expenses </w:t>
            </w:r>
            <w:r>
              <w:rPr>
                <w:rFonts w:ascii="Times New Roman;serif" w:hAnsi="Times New Roman;serif"/>
                <w:b w:val="false"/>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106.1</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80.1</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Broker commission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23.3</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Amortization of other intangible assets </w:t>
            </w:r>
            <w:r>
              <w:rPr>
                <w:rFonts w:ascii="Times New Roman;serif" w:hAnsi="Times New Roman;serif"/>
                <w:b w:val="false"/>
                <w:color w:val="000000"/>
                <w:sz w:val="1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General and administrative expenses </w:t>
            </w:r>
            <w:r>
              <w:rPr>
                <w:rFonts w:ascii="Times New Roman;serif" w:hAnsi="Times New Roman;serif"/>
                <w:b w:val="false"/>
                <w:color w:val="000000"/>
                <w:sz w:val="10"/>
              </w:rPr>
              <w:t>(3) (4)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143.3</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fair value of contingent 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31.7</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19.8</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Total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13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588.6</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8" w:type="dxa"/>
            <w:gridSpan w:val="6"/>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Pre-tax income (loss)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w:t>
            </w:r>
          </w:p>
        </w:tc>
        <w:tc>
          <w:tcPr>
            <w:tcW w:w="13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256.0</w:t>
            </w:r>
            <w:r>
              <w:rPr>
                <w:color w:val="000000"/>
              </w:rPr>
              <w:t>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Other Operations’s earned insurance premiums and commission and fee revenues are included in other revenues in the consolidated statement of operations.</w:t>
      </w:r>
    </w:p>
    <w:p>
      <w:pPr>
        <w:pStyle w:val="TextBody"/>
        <w:bidi w:val="0"/>
        <w:spacing w:lineRule="auto" w:line="288" w:before="0" w:after="0"/>
        <w:jc w:val="left"/>
        <w:rPr/>
      </w:pPr>
      <w:r>
        <w:rPr>
          <w:rFonts w:ascii="Times New Roman;serif" w:hAnsi="Times New Roman;serif"/>
          <w:b w:val="false"/>
          <w:color w:val="000000"/>
          <w:sz w:val="10"/>
        </w:rPr>
        <w:t xml:space="preserve">(2) </w:t>
      </w:r>
      <w:r>
        <w:rPr>
          <w:rFonts w:ascii="Times New Roman;serif" w:hAnsi="Times New Roman;serif"/>
          <w:b w:val="false"/>
          <w:color w:val="000000"/>
          <w:sz w:val="16"/>
        </w:rPr>
        <w:t>Distinguished’s net investment income is included in other revenues in the consolidated statement of operations.</w:t>
      </w:r>
    </w:p>
    <w:p>
      <w:pPr>
        <w:pStyle w:val="TextBody"/>
        <w:bidi w:val="0"/>
        <w:spacing w:lineRule="auto" w:line="288" w:before="0" w:after="0"/>
        <w:jc w:val="left"/>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 xml:space="preserve">Other Operations’s loss and LAE and insurance acquisition expenses are included in general and administrative expenses in the consolidated statement of operations. </w:t>
      </w:r>
    </w:p>
    <w:p>
      <w:pPr>
        <w:pStyle w:val="TextBody"/>
        <w:bidi w:val="0"/>
        <w:spacing w:lineRule="auto" w:line="288" w:before="0" w:after="0"/>
        <w:jc w:val="left"/>
        <w:rPr/>
      </w:pPr>
      <w:r>
        <w:rPr>
          <w:rFonts w:ascii="Times New Roman;serif" w:hAnsi="Times New Roman;serif"/>
          <w:b w:val="false"/>
          <w:color w:val="000000"/>
          <w:sz w:val="10"/>
        </w:rPr>
        <w:t xml:space="preserve">(4) </w:t>
      </w:r>
      <w:r>
        <w:rPr>
          <w:rFonts w:ascii="Times New Roman;serif" w:hAnsi="Times New Roman;serif"/>
          <w:b w:val="false"/>
          <w:color w:val="000000"/>
          <w:sz w:val="16"/>
        </w:rPr>
        <w:t>Amortization of other intangible assets is included in general and administrative expenses in the consolidated statement of operations.</w:t>
      </w:r>
    </w:p>
    <w:p>
      <w:pPr>
        <w:pStyle w:val="TextBody"/>
        <w:bidi w:val="0"/>
        <w:spacing w:lineRule="auto" w:line="288" w:before="0" w:after="0"/>
        <w:jc w:val="left"/>
        <w:rPr/>
      </w:pPr>
      <w:r>
        <w:rPr>
          <w:rFonts w:ascii="Times New Roman;serif" w:hAnsi="Times New Roman;serif"/>
          <w:b w:val="false"/>
          <w:color w:val="000000"/>
          <w:sz w:val="10"/>
        </w:rPr>
        <w:t xml:space="preserve">(5) </w:t>
      </w:r>
      <w:r>
        <w:rPr>
          <w:rFonts w:ascii="Times New Roman;serif" w:hAnsi="Times New Roman;serif"/>
          <w:b w:val="false"/>
          <w:color w:val="000000"/>
          <w:sz w:val="16"/>
        </w:rPr>
        <w:t>Ark’s general and administrative expenses include $36.3 of other underwriting expenses.</w:t>
      </w:r>
    </w:p>
    <w:p>
      <w:pPr>
        <w:pStyle w:val="TextBody"/>
        <w:bidi w:val="0"/>
        <w:spacing w:before="0" w:after="0"/>
        <w:ind w:left="0" w:right="0" w:hanging="90"/>
        <w:jc w:val="left"/>
        <w:rPr/>
      </w:pPr>
      <w:r>
        <w:rPr/>
      </w:r>
    </w:p>
    <w:p>
      <w:pPr>
        <w:pStyle w:val="TextBody"/>
        <w:bidi w:val="0"/>
        <w:spacing w:before="0" w:after="0"/>
        <w:ind w:left="0" w:right="0" w:hanging="9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2374" w:type="dxa"/>
        <w:jc w:val="left"/>
        <w:tblInd w:w="0" w:type="dxa"/>
        <w:tblLayout w:type="fixed"/>
        <w:tblCellMar>
          <w:top w:w="28" w:type="dxa"/>
          <w:left w:w="28" w:type="dxa"/>
          <w:bottom w:w="28" w:type="dxa"/>
          <w:right w:w="28" w:type="dxa"/>
        </w:tblCellMar>
      </w:tblPr>
      <w:tblGrid>
        <w:gridCol w:w="745"/>
        <w:gridCol w:w="220"/>
        <w:gridCol w:w="221"/>
        <w:gridCol w:w="511"/>
        <w:gridCol w:w="109"/>
        <w:gridCol w:w="211"/>
        <w:gridCol w:w="616"/>
        <w:gridCol w:w="109"/>
        <w:gridCol w:w="203"/>
        <w:gridCol w:w="203"/>
        <w:gridCol w:w="109"/>
        <w:gridCol w:w="244"/>
        <w:gridCol w:w="470"/>
        <w:gridCol w:w="127"/>
        <w:gridCol w:w="128"/>
        <w:gridCol w:w="128"/>
        <w:gridCol w:w="109"/>
        <w:gridCol w:w="211"/>
        <w:gridCol w:w="511"/>
        <w:gridCol w:w="109"/>
        <w:gridCol w:w="203"/>
        <w:gridCol w:w="203"/>
        <w:gridCol w:w="109"/>
        <w:gridCol w:w="211"/>
        <w:gridCol w:w="511"/>
        <w:gridCol w:w="109"/>
        <w:gridCol w:w="203"/>
        <w:gridCol w:w="203"/>
        <w:gridCol w:w="109"/>
        <w:gridCol w:w="213"/>
        <w:gridCol w:w="411"/>
        <w:gridCol w:w="112"/>
        <w:gridCol w:w="203"/>
        <w:gridCol w:w="203"/>
        <w:gridCol w:w="109"/>
        <w:gridCol w:w="211"/>
        <w:gridCol w:w="511"/>
        <w:gridCol w:w="109"/>
        <w:gridCol w:w="255"/>
        <w:gridCol w:w="256"/>
        <w:gridCol w:w="109"/>
        <w:gridCol w:w="232"/>
        <w:gridCol w:w="563"/>
        <w:gridCol w:w="121"/>
        <w:gridCol w:w="255"/>
        <w:gridCol w:w="256"/>
        <w:gridCol w:w="109"/>
        <w:gridCol w:w="211"/>
        <w:gridCol w:w="616"/>
        <w:gridCol w:w="154"/>
      </w:tblGrid>
      <w:tr>
        <w:trPr/>
        <w:tc>
          <w:tcPr>
            <w:tcW w:w="74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20" w:type="dxa"/>
            <w:gridSpan w:val="2"/>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vAlign w:val="center"/>
          </w:tcPr>
          <w:p>
            <w:pPr>
              <w:pStyle w:val="TableContents"/>
              <w:bidi w:val="0"/>
              <w:spacing w:before="0" w:after="283"/>
              <w:jc w:val="left"/>
              <w:rPr>
                <w:sz w:val="4"/>
                <w:szCs w:val="4"/>
              </w:rPr>
            </w:pPr>
            <w:r>
              <w:rPr>
                <w:sz w:val="4"/>
                <w:szCs w:val="4"/>
              </w:rPr>
            </w:r>
          </w:p>
        </w:tc>
        <w:tc>
          <w:tcPr>
            <w:tcW w:w="229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Ark/WM Outrigger</w:t>
            </w:r>
          </w:p>
        </w:tc>
        <w:tc>
          <w:tcPr>
            <w:tcW w:w="3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620" w:type="dxa"/>
            <w:gridSpan w:val="2"/>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Ark</w:t>
            </w:r>
          </w:p>
        </w:tc>
        <w:tc>
          <w:tcPr>
            <w:tcW w:w="5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WM Outrigger Re</w:t>
            </w:r>
          </w:p>
        </w:tc>
        <w:tc>
          <w:tcPr>
            <w:tcW w:w="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Kudu</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HG Global</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WTM Partners</w:t>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Bamboo</w:t>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Operations</w:t>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620" w:type="dxa"/>
            <w:gridSpan w:val="2"/>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Earned insurance premiums </w:t>
            </w:r>
            <w:r>
              <w:rPr>
                <w:rFonts w:ascii="Times New Roman;serif" w:hAnsi="Times New Roman;serif"/>
                <w:b w:val="false"/>
                <w:color w:val="000000"/>
                <w:sz w:val="10"/>
              </w:rPr>
              <w:t>(1)</w:t>
            </w:r>
          </w:p>
        </w:tc>
        <w:tc>
          <w:tcPr>
            <w:tcW w:w="620" w:type="dxa"/>
            <w:gridSpan w:val="2"/>
            <w:tcBorders/>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Net investment income </w:t>
            </w:r>
            <w:r>
              <w:rPr>
                <w:rFonts w:ascii="Times New Roman;serif" w:hAnsi="Times New Roman;serif"/>
                <w:b w:val="false"/>
                <w:color w:val="000000"/>
                <w:sz w:val="10"/>
              </w:rPr>
              <w:t>(2)</w:t>
            </w:r>
          </w:p>
        </w:tc>
        <w:tc>
          <w:tcPr>
            <w:tcW w:w="620" w:type="dxa"/>
            <w:gridSpan w:val="2"/>
            <w:tcBorders/>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 xml:space="preserve">Net realized and unrealized </w:t>
            </w:r>
          </w:p>
          <w:p>
            <w:pPr>
              <w:pStyle w:val="TableContents"/>
              <w:bidi w:val="0"/>
              <w:spacing w:lineRule="auto" w:line="240" w:before="0" w:after="0"/>
              <w:ind w:left="0" w:right="0" w:hanging="90"/>
              <w:jc w:val="left"/>
              <w:rPr/>
            </w:pPr>
            <w:r>
              <w:rPr>
                <w:color w:val="000000"/>
              </w:rPr>
              <w:t>   </w:t>
            </w:r>
            <w:r>
              <w:rPr>
                <w:rFonts w:ascii="Times New Roman;serif" w:hAnsi="Times New Roman;serif"/>
                <w:b w:val="false"/>
                <w:color w:val="000000"/>
                <w:sz w:val="16"/>
              </w:rPr>
              <w:t xml:space="preserve">investment gains (losses) </w:t>
            </w:r>
            <w:r>
              <w:rPr>
                <w:rFonts w:ascii="Times New Roman;serif" w:hAnsi="Times New Roman;serif"/>
                <w:b w:val="false"/>
                <w:color w:val="000000"/>
                <w:sz w:val="10"/>
              </w:rPr>
              <w:t>(2)</w:t>
            </w:r>
            <w:r>
              <w:rPr>
                <w:color w:val="000000"/>
              </w:rPr>
              <w:t xml:space="preserve"> </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Net realized and unrealized investment </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6"/>
              </w:rPr>
              <w:t xml:space="preserve">gains (losses) from investment in </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6"/>
              </w:rPr>
              <w:t>MediaAlpha</w:t>
            </w:r>
          </w:p>
        </w:tc>
        <w:tc>
          <w:tcPr>
            <w:tcW w:w="620" w:type="dxa"/>
            <w:gridSpan w:val="2"/>
            <w:tcBorders/>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 from BAM Surplus Notes</w:t>
            </w:r>
          </w:p>
        </w:tc>
        <w:tc>
          <w:tcPr>
            <w:tcW w:w="620" w:type="dxa"/>
            <w:gridSpan w:val="2"/>
            <w:tcBorders/>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Commission and fee revenues </w:t>
            </w:r>
            <w:r>
              <w:rPr>
                <w:rFonts w:ascii="Times New Roman;serif" w:hAnsi="Times New Roman;serif"/>
                <w:b w:val="false"/>
                <w:color w:val="000000"/>
                <w:sz w:val="10"/>
              </w:rPr>
              <w:t>(1)</w:t>
            </w:r>
          </w:p>
        </w:tc>
        <w:tc>
          <w:tcPr>
            <w:tcW w:w="620" w:type="dxa"/>
            <w:gridSpan w:val="2"/>
            <w:tcBorders/>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Product and services revenues</w:t>
            </w:r>
          </w:p>
        </w:tc>
        <w:tc>
          <w:tcPr>
            <w:tcW w:w="620" w:type="dxa"/>
            <w:gridSpan w:val="2"/>
            <w:tcBorders/>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 revenues</w:t>
            </w:r>
            <w:r>
              <w:rPr>
                <w:color w:val="000000"/>
              </w:rPr>
              <w:t xml:space="preserve"> </w:t>
            </w:r>
            <w:r>
              <w:rPr>
                <w:rFonts w:ascii="Times New Roman;serif" w:hAnsi="Times New Roman;serif"/>
                <w:b w:val="false"/>
                <w:color w:val="000000"/>
                <w:sz w:val="10"/>
              </w:rPr>
              <w:t>(1) (2)</w:t>
            </w:r>
          </w:p>
        </w:tc>
        <w:tc>
          <w:tcPr>
            <w:tcW w:w="620" w:type="dxa"/>
            <w:gridSpan w:val="2"/>
            <w:tcBorders/>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Total revenues</w:t>
            </w:r>
          </w:p>
        </w:tc>
        <w:tc>
          <w:tcPr>
            <w:tcW w:w="620" w:type="dxa"/>
            <w:gridSpan w:val="2"/>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Loss and LAE </w:t>
            </w:r>
            <w:r>
              <w:rPr>
                <w:rFonts w:ascii="Times New Roman;serif" w:hAnsi="Times New Roman;serif"/>
                <w:b w:val="false"/>
                <w:color w:val="000000"/>
                <w:sz w:val="10"/>
              </w:rPr>
              <w:t>(3)</w:t>
            </w:r>
          </w:p>
        </w:tc>
        <w:tc>
          <w:tcPr>
            <w:tcW w:w="620" w:type="dxa"/>
            <w:gridSpan w:val="2"/>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Insurance acquisition expenses </w:t>
            </w:r>
            <w:r>
              <w:rPr>
                <w:rFonts w:ascii="Times New Roman;serif" w:hAnsi="Times New Roman;serif"/>
                <w:b w:val="false"/>
                <w:color w:val="000000"/>
                <w:sz w:val="10"/>
              </w:rPr>
              <w:t>(3)</w:t>
            </w:r>
          </w:p>
        </w:tc>
        <w:tc>
          <w:tcPr>
            <w:tcW w:w="620" w:type="dxa"/>
            <w:gridSpan w:val="2"/>
            <w:tcBorders/>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w:t>
            </w:r>
          </w:p>
        </w:tc>
        <w:tc>
          <w:tcPr>
            <w:tcW w:w="620" w:type="dxa"/>
            <w:gridSpan w:val="2"/>
            <w:tcBorders/>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Broker commission expenses</w:t>
            </w:r>
          </w:p>
        </w:tc>
        <w:tc>
          <w:tcPr>
            <w:tcW w:w="620" w:type="dxa"/>
            <w:gridSpan w:val="2"/>
            <w:tcBorders/>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Amortization of other intangible assets </w:t>
            </w:r>
            <w:r>
              <w:rPr>
                <w:rFonts w:ascii="Times New Roman;serif" w:hAnsi="Times New Roman;serif"/>
                <w:b w:val="false"/>
                <w:color w:val="000000"/>
                <w:sz w:val="10"/>
              </w:rPr>
              <w:t>(4)</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General and administrative expenses </w:t>
            </w:r>
            <w:r>
              <w:rPr>
                <w:rFonts w:ascii="Times New Roman;serif" w:hAnsi="Times New Roman;serif"/>
                <w:b w:val="false"/>
                <w:color w:val="000000"/>
                <w:sz w:val="10"/>
              </w:rPr>
              <w:t>(3) (4) (5)</w:t>
            </w:r>
          </w:p>
        </w:tc>
        <w:tc>
          <w:tcPr>
            <w:tcW w:w="620" w:type="dxa"/>
            <w:gridSpan w:val="2"/>
            <w:tcBorders/>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Change in fair value of contingent </w:t>
              <w:br/>
              <w:t>   consideration</w:t>
            </w:r>
          </w:p>
        </w:tc>
        <w:tc>
          <w:tcPr>
            <w:tcW w:w="620" w:type="dxa"/>
            <w:gridSpan w:val="2"/>
            <w:tcBorders/>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620" w:type="dxa"/>
            <w:gridSpan w:val="2"/>
            <w:tcBorders/>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Total expenses</w:t>
            </w:r>
          </w:p>
        </w:tc>
        <w:tc>
          <w:tcPr>
            <w:tcW w:w="620" w:type="dxa"/>
            <w:gridSpan w:val="2"/>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Pre-tax income (loss)</w:t>
            </w:r>
          </w:p>
        </w:tc>
        <w:tc>
          <w:tcPr>
            <w:tcW w:w="620" w:type="dxa"/>
            <w:gridSpan w:val="2"/>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5"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0"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Other Operations’s earned insurance premiums and commission and fee revenues are included in other revenues in the consolidated statement of operations.</w:t>
      </w:r>
    </w:p>
    <w:p>
      <w:pPr>
        <w:pStyle w:val="TextBody"/>
        <w:bidi w:val="0"/>
        <w:spacing w:lineRule="auto" w:line="288" w:before="0" w:after="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Bamboo’s net investment income is included in other revenues in the consolidated statement of operations.</w:t>
      </w:r>
    </w:p>
    <w:p>
      <w:pPr>
        <w:pStyle w:val="TextBody"/>
        <w:bidi w:val="0"/>
        <w:spacing w:lineRule="auto" w:line="288" w:before="0" w:after="0"/>
        <w:jc w:val="left"/>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Other Operations’s loss and LAE and insurance acquisition expenses are included in general and administrative expenses in the consolidated statement of operations.</w:t>
      </w:r>
    </w:p>
    <w:p>
      <w:pPr>
        <w:pStyle w:val="TextBody"/>
        <w:bidi w:val="0"/>
        <w:spacing w:lineRule="auto" w:line="288" w:before="0" w:after="0"/>
        <w:jc w:val="left"/>
        <w:rPr/>
      </w:pPr>
      <w:r>
        <w:rPr>
          <w:rFonts w:ascii="Times New Roman;serif" w:hAnsi="Times New Roman;serif"/>
          <w:b w:val="false"/>
          <w:color w:val="000000"/>
          <w:sz w:val="10"/>
        </w:rPr>
        <w:t xml:space="preserve">(4) </w:t>
      </w:r>
      <w:r>
        <w:rPr>
          <w:rFonts w:ascii="Times New Roman;serif" w:hAnsi="Times New Roman;serif"/>
          <w:b w:val="false"/>
          <w:color w:val="000000"/>
          <w:sz w:val="16"/>
        </w:rPr>
        <w:t>Amortization of other intangible assets is included in general and administrative expenses in the consolidated statement of operations.</w:t>
      </w:r>
    </w:p>
    <w:p>
      <w:pPr>
        <w:pStyle w:val="TextBody"/>
        <w:bidi w:val="0"/>
        <w:spacing w:lineRule="auto" w:line="288" w:before="0" w:after="0"/>
        <w:jc w:val="left"/>
        <w:rPr/>
      </w:pPr>
      <w:r>
        <w:rPr>
          <w:rFonts w:ascii="Times New Roman;serif" w:hAnsi="Times New Roman;serif"/>
          <w:b w:val="false"/>
          <w:color w:val="000000"/>
          <w:sz w:val="10"/>
        </w:rPr>
        <w:t xml:space="preserve">(5) </w:t>
      </w:r>
      <w:r>
        <w:rPr>
          <w:rFonts w:ascii="Times New Roman;serif" w:hAnsi="Times New Roman;serif"/>
          <w:b w:val="false"/>
          <w:color w:val="000000"/>
          <w:sz w:val="16"/>
        </w:rPr>
        <w:t>Ark’s general and administrative expenses include $46.3 of other underwriting expenses.</w:t>
      </w:r>
    </w:p>
    <w:p>
      <w:pPr>
        <w:pStyle w:val="TextBody"/>
        <w:bidi w:val="0"/>
        <w:spacing w:before="0" w:after="0"/>
        <w:ind w:left="0" w:right="0" w:hanging="180"/>
        <w:jc w:val="left"/>
        <w:rPr/>
      </w:pPr>
      <w:r>
        <w:rPr/>
      </w:r>
    </w:p>
    <w:p>
      <w:pPr>
        <w:pStyle w:val="TextBody"/>
        <w:bidi w:val="0"/>
        <w:spacing w:before="60" w:after="60"/>
        <w:ind w:left="0" w:right="0" w:hanging="18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917" w:type="dxa"/>
        <w:jc w:val="left"/>
        <w:tblInd w:w="0" w:type="dxa"/>
        <w:tblLayout w:type="fixed"/>
        <w:tblCellMar>
          <w:top w:w="28" w:type="dxa"/>
          <w:left w:w="28" w:type="dxa"/>
          <w:bottom w:w="28" w:type="dxa"/>
          <w:right w:w="28" w:type="dxa"/>
        </w:tblCellMar>
      </w:tblPr>
      <w:tblGrid>
        <w:gridCol w:w="458"/>
        <w:gridCol w:w="258"/>
        <w:gridCol w:w="260"/>
        <w:gridCol w:w="109"/>
        <w:gridCol w:w="109"/>
        <w:gridCol w:w="109"/>
        <w:gridCol w:w="211"/>
        <w:gridCol w:w="616"/>
        <w:gridCol w:w="109"/>
        <w:gridCol w:w="109"/>
        <w:gridCol w:w="109"/>
        <w:gridCol w:w="109"/>
        <w:gridCol w:w="244"/>
        <w:gridCol w:w="470"/>
        <w:gridCol w:w="127"/>
        <w:gridCol w:w="109"/>
        <w:gridCol w:w="109"/>
        <w:gridCol w:w="109"/>
        <w:gridCol w:w="211"/>
        <w:gridCol w:w="616"/>
        <w:gridCol w:w="109"/>
        <w:gridCol w:w="109"/>
        <w:gridCol w:w="109"/>
        <w:gridCol w:w="109"/>
        <w:gridCol w:w="211"/>
        <w:gridCol w:w="511"/>
        <w:gridCol w:w="109"/>
        <w:gridCol w:w="109"/>
        <w:gridCol w:w="109"/>
        <w:gridCol w:w="109"/>
        <w:gridCol w:w="265"/>
        <w:gridCol w:w="662"/>
        <w:gridCol w:w="139"/>
        <w:gridCol w:w="109"/>
        <w:gridCol w:w="109"/>
        <w:gridCol w:w="109"/>
        <w:gridCol w:w="213"/>
        <w:gridCol w:w="411"/>
        <w:gridCol w:w="112"/>
        <w:gridCol w:w="109"/>
        <w:gridCol w:w="109"/>
        <w:gridCol w:w="109"/>
        <w:gridCol w:w="232"/>
        <w:gridCol w:w="563"/>
        <w:gridCol w:w="121"/>
        <w:gridCol w:w="109"/>
        <w:gridCol w:w="109"/>
        <w:gridCol w:w="109"/>
        <w:gridCol w:w="211"/>
        <w:gridCol w:w="631"/>
        <w:gridCol w:w="221"/>
      </w:tblGrid>
      <w:tr>
        <w:trPr/>
        <w:tc>
          <w:tcPr>
            <w:tcW w:w="4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Ark/WM Outrigger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Ark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WM Outrigger 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Kudu</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HG Global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Distinguished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WTM Partners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734"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Six Months Ended June 30, 2026</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Earned insurance premiums </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769.5</w:t>
            </w:r>
            <w:r>
              <w:rPr>
                <w:color w:val="000000"/>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Net investment income </w:t>
            </w:r>
            <w:r>
              <w:rPr>
                <w:rFonts w:ascii="Times New Roman;serif" w:hAnsi="Times New Roman;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142.3</w:t>
            </w:r>
            <w:r>
              <w:rPr>
                <w:color w:val="000000"/>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3" w:type="dxa"/>
            <w:gridSpan w:val="6"/>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 xml:space="preserve">Net realized and unrealized </w:t>
            </w:r>
          </w:p>
          <w:p>
            <w:pPr>
              <w:pStyle w:val="TableContents"/>
              <w:bidi w:val="0"/>
              <w:spacing w:lineRule="auto" w:line="240" w:before="0" w:after="0"/>
              <w:ind w:left="0" w:right="0" w:hanging="90"/>
              <w:jc w:val="left"/>
              <w:rPr/>
            </w:pPr>
            <w:r>
              <w:rPr>
                <w:color w:val="000000"/>
              </w:rPr>
              <w:t>   </w:t>
            </w:r>
            <w:r>
              <w:rPr>
                <w:rFonts w:ascii="Times New Roman;serif" w:hAnsi="Times New Roman;serif"/>
                <w:b w:val="false"/>
                <w:color w:val="000000"/>
                <w:sz w:val="16"/>
              </w:rPr>
              <w:t xml:space="preserve">investment gains (losses) </w:t>
            </w:r>
            <w:r>
              <w:rPr>
                <w:rFonts w:ascii="Times New Roman;serif" w:hAnsi="Times New Roman;serif"/>
                <w:b w:val="false"/>
                <w:color w:val="000000"/>
                <w:sz w:val="10"/>
              </w:rPr>
              <w:t>(2)</w:t>
            </w:r>
            <w:r>
              <w:rPr>
                <w:color w:val="000000"/>
              </w:rPr>
              <w:t xml:space="preserve"> </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161.4</w:t>
            </w:r>
            <w:r>
              <w:rPr>
                <w:color w:val="000000"/>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3"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Net realized and unrealized investment </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6"/>
              </w:rPr>
              <w:t xml:space="preserve">gains (losses) from investment in </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6"/>
              </w:rPr>
              <w:t>MediaAlpha</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(6.8)</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income from BAM Surplus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w:t>
            </w:r>
            <w:r>
              <w:rPr>
                <w:color w:val="000000"/>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Commission and fee revenues </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103.6</w:t>
            </w:r>
            <w:r>
              <w:rPr>
                <w:color w:val="000000"/>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Product and services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164.0</w:t>
            </w:r>
            <w:r>
              <w:rPr>
                <w:color w:val="000000"/>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gain on sale of the Bamboo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w:t>
            </w:r>
            <w:r>
              <w:rPr>
                <w:color w:val="000000"/>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 revenues</w:t>
            </w:r>
            <w:r>
              <w:rPr>
                <w:color w:val="000000"/>
              </w:rPr>
              <w:t xml:space="preserve"> </w:t>
            </w:r>
            <w:r>
              <w:rPr>
                <w:rFonts w:ascii="Times New Roman;serif" w:hAnsi="Times New Roman;serif"/>
                <w:b w:val="false"/>
                <w:color w:val="000000"/>
                <w:sz w:val="10"/>
              </w:rPr>
              <w:t>(1)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w:t>
            </w:r>
            <w:r>
              <w:rPr>
                <w:color w:val="000000"/>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Total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97.7 </w:t>
            </w:r>
          </w:p>
        </w:tc>
        <w:tc>
          <w:tcPr>
            <w:tcW w:w="13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142.8 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1,362.4</w:t>
            </w:r>
            <w:r>
              <w:rPr>
                <w:color w:val="000000"/>
              </w:rPr>
              <w:t> </w:t>
            </w:r>
          </w:p>
        </w:tc>
        <w:tc>
          <w:tcPr>
            <w:tcW w:w="2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Loss and LAE </w:t>
            </w:r>
            <w:r>
              <w:rPr>
                <w:rFonts w:ascii="Times New Roman;serif" w:hAnsi="Times New Roman;serif"/>
                <w:b w:val="false"/>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382.7</w:t>
            </w:r>
            <w:r>
              <w:rPr>
                <w:color w:val="000000"/>
              </w:rPr>
              <w:t> </w:t>
            </w:r>
          </w:p>
        </w:tc>
        <w:tc>
          <w:tcPr>
            <w:tcW w:w="2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Insurance acquisition expenses </w:t>
            </w:r>
            <w:r>
              <w:rPr>
                <w:rFonts w:ascii="Times New Roman;serif" w:hAnsi="Times New Roman;serif"/>
                <w:b w:val="false"/>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208.3</w:t>
            </w:r>
            <w:r>
              <w:rPr>
                <w:color w:val="000000"/>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3"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122.8</w:t>
            </w:r>
            <w:r>
              <w:rPr>
                <w:color w:val="000000"/>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Broker commission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40.5</w:t>
            </w:r>
            <w:r>
              <w:rPr>
                <w:color w:val="000000"/>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3"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Amortization of other intangible assets </w:t>
            </w:r>
            <w:r>
              <w:rPr>
                <w:rFonts w:ascii="Times New Roman;serif" w:hAnsi="Times New Roman;serif"/>
                <w:b w:val="false"/>
                <w:color w:val="000000"/>
                <w:sz w:val="10"/>
              </w:rPr>
              <w:t>(4)</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18.3</w:t>
            </w:r>
            <w:r>
              <w:rPr>
                <w:color w:val="000000"/>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3"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General and administrative expenses </w:t>
            </w:r>
            <w:r>
              <w:rPr>
                <w:rFonts w:ascii="Times New Roman;serif" w:hAnsi="Times New Roman;serif"/>
                <w:b w:val="false"/>
                <w:color w:val="000000"/>
                <w:sz w:val="10"/>
              </w:rPr>
              <w:t>(3) (4) (5)</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278.5</w:t>
            </w:r>
            <w:r>
              <w:rPr>
                <w:color w:val="000000"/>
              </w:rPr>
              <w:t> </w:t>
            </w:r>
          </w:p>
        </w:tc>
        <w:tc>
          <w:tcPr>
            <w:tcW w:w="221" w:type="dxa"/>
            <w:tcBorders/>
            <w:tcMar>
              <w:top w:w="0" w:type="dxa"/>
              <w:left w:w="0" w:type="dxa"/>
              <w:bottom w:w="0" w:type="dxa"/>
              <w:right w:w="0" w:type="dxa"/>
            </w:tcMar>
            <w:vAlign w:val="center"/>
          </w:tcPr>
          <w:p>
            <w:pPr>
              <w:pStyle w:val="TableContents"/>
              <w:bidi w:val="0"/>
              <w:spacing w:before="0" w:after="283"/>
              <w:ind w:left="0" w:right="0" w:firstLine="90"/>
              <w:jc w:val="left"/>
              <w:rPr>
                <w:sz w:val="4"/>
                <w:szCs w:val="4"/>
              </w:rPr>
            </w:pPr>
            <w:r>
              <w:rPr>
                <w:sz w:val="4"/>
                <w:szCs w:val="4"/>
              </w:rPr>
            </w:r>
          </w:p>
        </w:tc>
      </w:tr>
      <w:tr>
        <w:trPr/>
        <w:tc>
          <w:tcPr>
            <w:tcW w:w="1303"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Change in fair value of contingent</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6"/>
              </w:rPr>
              <w:t>consideration</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41.7</w:t>
            </w:r>
            <w:r>
              <w:rPr>
                <w:color w:val="000000"/>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39.1</w:t>
            </w:r>
            <w:r>
              <w:rPr>
                <w:color w:val="000000"/>
              </w:rPr>
              <w:t> </w:t>
            </w:r>
          </w:p>
        </w:tc>
        <w:tc>
          <w:tcPr>
            <w:tcW w:w="2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Total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125.8 </w:t>
            </w:r>
          </w:p>
        </w:tc>
        <w:tc>
          <w:tcPr>
            <w:tcW w:w="13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134.9 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1,131.9</w:t>
            </w:r>
            <w:r>
              <w:rPr>
                <w:color w:val="000000"/>
              </w:rPr>
              <w:t> </w:t>
            </w:r>
          </w:p>
        </w:tc>
        <w:tc>
          <w:tcPr>
            <w:tcW w:w="2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3" w:type="dxa"/>
            <w:gridSpan w:val="6"/>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Pre-tax income (loss)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w:t>
            </w:r>
          </w:p>
        </w:tc>
        <w:tc>
          <w:tcPr>
            <w:tcW w:w="13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37.8 </w:t>
            </w:r>
          </w:p>
        </w:tc>
        <w:tc>
          <w:tcPr>
            <w:tcW w:w="1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230.5</w:t>
            </w:r>
            <w:r>
              <w:rPr>
                <w:color w:val="000000"/>
              </w:rPr>
              <w:t> </w:t>
            </w:r>
          </w:p>
        </w:tc>
        <w:tc>
          <w:tcPr>
            <w:tcW w:w="2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Other Operations’s earned insurance premiums and commission and fee revenues are included in other revenues in the consolidated statement of operations.</w:t>
      </w:r>
    </w:p>
    <w:p>
      <w:pPr>
        <w:pStyle w:val="TextBody"/>
        <w:bidi w:val="0"/>
        <w:spacing w:lineRule="auto" w:line="288" w:before="0" w:after="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Distinguished’s net investment income is included in other revenues in the consolidated statement of operations.</w:t>
      </w:r>
    </w:p>
    <w:p>
      <w:pPr>
        <w:pStyle w:val="TextBody"/>
        <w:bidi w:val="0"/>
        <w:spacing w:lineRule="auto" w:line="288" w:before="0" w:after="0"/>
        <w:jc w:val="left"/>
        <w:rPr/>
      </w:pPr>
      <w:r>
        <w:rPr>
          <w:rFonts w:ascii="Times New Roman;serif" w:hAnsi="Times New Roman;serif"/>
          <w:b w:val="false"/>
          <w:color w:val="000000"/>
          <w:sz w:val="10"/>
        </w:rPr>
        <w:t xml:space="preserve">(3) </w:t>
      </w:r>
      <w:r>
        <w:rPr>
          <w:rFonts w:ascii="Times New Roman;serif" w:hAnsi="Times New Roman;serif"/>
          <w:b w:val="false"/>
          <w:color w:val="000000"/>
          <w:sz w:val="16"/>
        </w:rPr>
        <w:t xml:space="preserve">Other Operations’s loss and LAE and insurance acquisition expenses are included in general and administrative expenses in the consolidated statement of operations. </w:t>
      </w:r>
      <w:r>
        <w:rPr>
          <w:rFonts w:ascii="Times New Roman;serif" w:hAnsi="Times New Roman;serif"/>
          <w:b w:val="false"/>
          <w:color w:val="000000"/>
          <w:sz w:val="10"/>
        </w:rPr>
        <w:t xml:space="preserve">(4) </w:t>
      </w:r>
      <w:r>
        <w:rPr>
          <w:rFonts w:ascii="Times New Roman;serif" w:hAnsi="Times New Roman;serif"/>
          <w:b w:val="false"/>
          <w:color w:val="000000"/>
          <w:sz w:val="16"/>
        </w:rPr>
        <w:t>Amortization of other intangible assets is included in general and administrative expenses in the consolidated statement of operations.</w:t>
      </w:r>
    </w:p>
    <w:p>
      <w:pPr>
        <w:pStyle w:val="TextBody"/>
        <w:bidi w:val="0"/>
        <w:spacing w:lineRule="auto" w:line="288" w:before="0" w:after="0"/>
        <w:jc w:val="left"/>
        <w:rPr/>
      </w:pPr>
      <w:r>
        <w:rPr>
          <w:rFonts w:ascii="Times New Roman;serif" w:hAnsi="Times New Roman;serif"/>
          <w:b w:val="false"/>
          <w:color w:val="000000"/>
          <w:sz w:val="10"/>
        </w:rPr>
        <w:t xml:space="preserve">(5) </w:t>
      </w:r>
      <w:r>
        <w:rPr>
          <w:rFonts w:ascii="Times New Roman;serif" w:hAnsi="Times New Roman;serif"/>
          <w:b w:val="false"/>
          <w:color w:val="000000"/>
          <w:sz w:val="16"/>
        </w:rPr>
        <w:t>Ark’s general and administrative expenses include $71.2 of other underwriting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680" w:type="dxa"/>
        <w:jc w:val="left"/>
        <w:tblInd w:w="0" w:type="dxa"/>
        <w:tblLayout w:type="fixed"/>
        <w:tblCellMar>
          <w:top w:w="28" w:type="dxa"/>
          <w:left w:w="28" w:type="dxa"/>
          <w:bottom w:w="28" w:type="dxa"/>
          <w:right w:w="28" w:type="dxa"/>
        </w:tblCellMar>
      </w:tblPr>
      <w:tblGrid>
        <w:gridCol w:w="715"/>
        <w:gridCol w:w="220"/>
        <w:gridCol w:w="221"/>
        <w:gridCol w:w="109"/>
        <w:gridCol w:w="109"/>
        <w:gridCol w:w="109"/>
        <w:gridCol w:w="211"/>
        <w:gridCol w:w="616"/>
        <w:gridCol w:w="109"/>
        <w:gridCol w:w="109"/>
        <w:gridCol w:w="109"/>
        <w:gridCol w:w="109"/>
        <w:gridCol w:w="213"/>
        <w:gridCol w:w="517"/>
        <w:gridCol w:w="111"/>
        <w:gridCol w:w="109"/>
        <w:gridCol w:w="109"/>
        <w:gridCol w:w="109"/>
        <w:gridCol w:w="211"/>
        <w:gridCol w:w="511"/>
        <w:gridCol w:w="109"/>
        <w:gridCol w:w="109"/>
        <w:gridCol w:w="109"/>
        <w:gridCol w:w="109"/>
        <w:gridCol w:w="211"/>
        <w:gridCol w:w="511"/>
        <w:gridCol w:w="109"/>
        <w:gridCol w:w="109"/>
        <w:gridCol w:w="109"/>
        <w:gridCol w:w="109"/>
        <w:gridCol w:w="211"/>
        <w:gridCol w:w="421"/>
        <w:gridCol w:w="109"/>
        <w:gridCol w:w="109"/>
        <w:gridCol w:w="109"/>
        <w:gridCol w:w="109"/>
        <w:gridCol w:w="211"/>
        <w:gridCol w:w="511"/>
        <w:gridCol w:w="109"/>
        <w:gridCol w:w="109"/>
        <w:gridCol w:w="109"/>
        <w:gridCol w:w="109"/>
        <w:gridCol w:w="228"/>
        <w:gridCol w:w="569"/>
        <w:gridCol w:w="119"/>
        <w:gridCol w:w="109"/>
        <w:gridCol w:w="109"/>
        <w:gridCol w:w="109"/>
        <w:gridCol w:w="211"/>
        <w:gridCol w:w="616"/>
        <w:gridCol w:w="154"/>
      </w:tblGrid>
      <w:tr>
        <w:trPr/>
        <w:tc>
          <w:tcPr>
            <w:tcW w:w="71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Ark/WM Outrigger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Ark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WM Outrigger 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Kudu</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HG Global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WTM Partners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Bamboo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Six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Earned insurance premiums </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Net investment income </w:t>
            </w:r>
            <w:r>
              <w:rPr>
                <w:rFonts w:ascii="Times New Roman;serif" w:hAnsi="Times New Roman;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3" w:type="dxa"/>
            <w:gridSpan w:val="6"/>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16"/>
              </w:rPr>
            </w:pPr>
            <w:r>
              <w:rPr>
                <w:rFonts w:ascii="Times New Roman;serif" w:hAnsi="Times New Roman;serif"/>
                <w:b w:val="false"/>
                <w:color w:val="000000"/>
                <w:sz w:val="16"/>
              </w:rPr>
              <w:t xml:space="preserve">Net realized and unrealized </w:t>
            </w:r>
          </w:p>
          <w:p>
            <w:pPr>
              <w:pStyle w:val="TableContents"/>
              <w:bidi w:val="0"/>
              <w:spacing w:lineRule="auto" w:line="240" w:before="0" w:after="0"/>
              <w:ind w:left="0" w:right="0" w:hanging="90"/>
              <w:jc w:val="left"/>
              <w:rPr/>
            </w:pPr>
            <w:r>
              <w:rPr>
                <w:color w:val="000000"/>
              </w:rPr>
              <w:t>   </w:t>
            </w:r>
            <w:r>
              <w:rPr>
                <w:rFonts w:ascii="Times New Roman;serif" w:hAnsi="Times New Roman;serif"/>
                <w:b w:val="false"/>
                <w:color w:val="000000"/>
                <w:sz w:val="16"/>
              </w:rPr>
              <w:t xml:space="preserve">investment gains (losses) </w:t>
            </w:r>
            <w:r>
              <w:rPr>
                <w:rFonts w:ascii="Times New Roman;serif" w:hAnsi="Times New Roman;serif"/>
                <w:b w:val="false"/>
                <w:color w:val="000000"/>
                <w:sz w:val="10"/>
              </w:rPr>
              <w:t>(2)</w:t>
            </w:r>
            <w:r>
              <w:rPr>
                <w:color w:val="000000"/>
              </w:rPr>
              <w:t xml:space="preserve"> </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Net realized and unrealized investment </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6"/>
              </w:rPr>
              <w:t xml:space="preserve">gains (losses) from investment in </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6"/>
              </w:rPr>
              <w:t>MediaAlpha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Interest income from BAM Surplus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Commission and fee revenues </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Product and services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Other revenues</w:t>
            </w:r>
            <w:r>
              <w:rPr>
                <w:color w:val="000000"/>
              </w:rPr>
              <w:t xml:space="preserve"> </w:t>
            </w:r>
            <w:r>
              <w:rPr>
                <w:rFonts w:ascii="Times New Roman;serif" w:hAnsi="Times New Roman;serif"/>
                <w:b w:val="false"/>
                <w:color w:val="000000"/>
                <w:sz w:val="10"/>
              </w:rPr>
              <w:t>(1)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Total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Loss and LAE </w:t>
            </w:r>
            <w:r>
              <w:rPr>
                <w:rFonts w:ascii="Times New Roman;serif" w:hAnsi="Times New Roman;serif"/>
                <w:b w:val="false"/>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Insurance acquisition expenses </w:t>
            </w:r>
            <w:r>
              <w:rPr>
                <w:rFonts w:ascii="Times New Roman;serif" w:hAnsi="Times New Roman;serif"/>
                <w:b w:val="false"/>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49.9 </w:t>
            </w:r>
          </w:p>
        </w:tc>
        <w:tc>
          <w:tcPr>
            <w:tcW w:w="154" w:type="dxa"/>
            <w:tcBorders/>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Broker commission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3"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Amortization of other intangible assets </w:t>
            </w:r>
            <w:r>
              <w:rPr>
                <w:rFonts w:ascii="Times New Roman;serif" w:hAnsi="Times New Roman;serif"/>
                <w:b w:val="false"/>
                <w:color w:val="000000"/>
                <w:sz w:val="10"/>
              </w:rPr>
              <w:t>(4)</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3"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General and administrative expenses </w:t>
            </w:r>
            <w:r>
              <w:rPr>
                <w:rFonts w:ascii="Times New Roman;serif" w:hAnsi="Times New Roman;serif"/>
                <w:b w:val="false"/>
                <w:color w:val="000000"/>
                <w:sz w:val="10"/>
              </w:rPr>
              <w:t>(3) (4) (5)</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Change in fair value of contingent </w:t>
              <w:br/>
              <w:t>   consideration</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6"/>
              </w:rPr>
              <w:t>Total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119.8 </w:t>
            </w:r>
          </w:p>
        </w:tc>
        <w:tc>
          <w:tcPr>
            <w:tcW w:w="1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Pre-tax income (loss)</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1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248.9 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Other Operations’s earned insurance premiums and commission and fee revenues are included in other revenues in the consolidated statement of operations.</w:t>
      </w:r>
    </w:p>
    <w:p>
      <w:pPr>
        <w:pStyle w:val="TextBody"/>
        <w:bidi w:val="0"/>
        <w:spacing w:lineRule="auto" w:line="288" w:before="0" w:after="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Bamboo’s net investment income and net realized and unrealized investment gains (losses) are included in other revenues in the consolidated statement of operations.</w:t>
      </w:r>
    </w:p>
    <w:p>
      <w:pPr>
        <w:pStyle w:val="TextBody"/>
        <w:bidi w:val="0"/>
        <w:spacing w:lineRule="auto" w:line="288" w:before="0" w:after="0"/>
        <w:jc w:val="left"/>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 xml:space="preserve">Other Operations’s loss and LAE and insurance acquisition expenses are included in general and administrative expenses in the consolidated statement of operations. </w:t>
      </w:r>
    </w:p>
    <w:p>
      <w:pPr>
        <w:pStyle w:val="TextBody"/>
        <w:bidi w:val="0"/>
        <w:spacing w:lineRule="auto" w:line="288" w:before="0" w:after="0"/>
        <w:jc w:val="left"/>
        <w:rPr/>
      </w:pPr>
      <w:r>
        <w:rPr>
          <w:rFonts w:ascii="Times New Roman;serif" w:hAnsi="Times New Roman;serif"/>
          <w:b w:val="false"/>
          <w:color w:val="000000"/>
          <w:sz w:val="10"/>
        </w:rPr>
        <w:t xml:space="preserve">(4) </w:t>
      </w:r>
      <w:r>
        <w:rPr>
          <w:rFonts w:ascii="Times New Roman;serif" w:hAnsi="Times New Roman;serif"/>
          <w:b w:val="false"/>
          <w:color w:val="000000"/>
          <w:sz w:val="16"/>
        </w:rPr>
        <w:t>Amortization of other intangible assets is included in general and administrative expenses in the consolidated statement of operations.</w:t>
      </w:r>
    </w:p>
    <w:p>
      <w:pPr>
        <w:pStyle w:val="TextBody"/>
        <w:bidi w:val="0"/>
        <w:spacing w:lineRule="auto" w:line="288" w:before="0" w:after="0"/>
        <w:jc w:val="left"/>
        <w:rPr/>
      </w:pPr>
      <w:r>
        <w:rPr>
          <w:rFonts w:ascii="Times New Roman;serif" w:hAnsi="Times New Roman;serif"/>
          <w:b w:val="false"/>
          <w:color w:val="000000"/>
          <w:sz w:val="10"/>
        </w:rPr>
        <w:t xml:space="preserve">(5) </w:t>
      </w:r>
      <w:r>
        <w:rPr>
          <w:rFonts w:ascii="Times New Roman;serif" w:hAnsi="Times New Roman;serif"/>
          <w:b w:val="false"/>
          <w:color w:val="000000"/>
          <w:sz w:val="16"/>
        </w:rPr>
        <w:t>Ark’s general and administrative expenses include $74.8 of other underwriting expenses.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White Mountains’s revenues from external customers by country for three and six months ended June 30, 2026 and 2025:</w:t>
      </w:r>
    </w:p>
    <w:tbl>
      <w:tblPr>
        <w:tblW w:w="9199" w:type="dxa"/>
        <w:jc w:val="center"/>
        <w:tblInd w:w="0" w:type="dxa"/>
        <w:tblLayout w:type="fixed"/>
        <w:tblCellMar>
          <w:top w:w="28" w:type="dxa"/>
          <w:left w:w="28" w:type="dxa"/>
          <w:bottom w:w="28" w:type="dxa"/>
          <w:right w:w="28" w:type="dxa"/>
        </w:tblCellMar>
      </w:tblPr>
      <w:tblGrid>
        <w:gridCol w:w="916"/>
        <w:gridCol w:w="805"/>
        <w:gridCol w:w="814"/>
        <w:gridCol w:w="109"/>
        <w:gridCol w:w="109"/>
        <w:gridCol w:w="109"/>
        <w:gridCol w:w="240"/>
        <w:gridCol w:w="701"/>
        <w:gridCol w:w="125"/>
        <w:gridCol w:w="109"/>
        <w:gridCol w:w="109"/>
        <w:gridCol w:w="109"/>
        <w:gridCol w:w="294"/>
        <w:gridCol w:w="859"/>
        <w:gridCol w:w="152"/>
        <w:gridCol w:w="109"/>
        <w:gridCol w:w="109"/>
        <w:gridCol w:w="109"/>
        <w:gridCol w:w="211"/>
        <w:gridCol w:w="616"/>
        <w:gridCol w:w="109"/>
        <w:gridCol w:w="109"/>
        <w:gridCol w:w="109"/>
        <w:gridCol w:w="109"/>
        <w:gridCol w:w="211"/>
        <w:gridCol w:w="406"/>
        <w:gridCol w:w="109"/>
        <w:gridCol w:w="109"/>
        <w:gridCol w:w="109"/>
        <w:gridCol w:w="109"/>
        <w:gridCol w:w="211"/>
        <w:gridCol w:w="631"/>
        <w:gridCol w:w="154"/>
      </w:tblGrid>
      <w:tr>
        <w:trPr/>
        <w:tc>
          <w:tcPr>
            <w:tcW w:w="91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7"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United States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United Kingdom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Bermuda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Earned insurance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237.6 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384.6</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 and fee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60.4</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and service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107.5</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164.3 </w:t>
            </w:r>
          </w:p>
        </w:tc>
        <w:tc>
          <w:tcPr>
            <w:tcW w:w="1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237.6 </w:t>
            </w:r>
          </w:p>
        </w:tc>
        <w:tc>
          <w:tcPr>
            <w:tcW w:w="1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552.5</w:t>
            </w:r>
            <w:r>
              <w:rPr>
                <w:color w:val="000000"/>
              </w:rPr>
              <w:t>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630"/>
        <w:jc w:val="left"/>
        <w:rPr/>
      </w:pPr>
      <w:r>
        <w:rPr/>
      </w:r>
    </w:p>
    <w:tbl>
      <w:tblPr>
        <w:tblW w:w="9184" w:type="dxa"/>
        <w:jc w:val="center"/>
        <w:tblInd w:w="0" w:type="dxa"/>
        <w:tblLayout w:type="fixed"/>
        <w:tblCellMar>
          <w:top w:w="28" w:type="dxa"/>
          <w:left w:w="28" w:type="dxa"/>
          <w:bottom w:w="28" w:type="dxa"/>
          <w:right w:w="28" w:type="dxa"/>
        </w:tblCellMar>
      </w:tblPr>
      <w:tblGrid>
        <w:gridCol w:w="916"/>
        <w:gridCol w:w="805"/>
        <w:gridCol w:w="814"/>
        <w:gridCol w:w="109"/>
        <w:gridCol w:w="109"/>
        <w:gridCol w:w="109"/>
        <w:gridCol w:w="240"/>
        <w:gridCol w:w="701"/>
        <w:gridCol w:w="125"/>
        <w:gridCol w:w="109"/>
        <w:gridCol w:w="109"/>
        <w:gridCol w:w="109"/>
        <w:gridCol w:w="294"/>
        <w:gridCol w:w="859"/>
        <w:gridCol w:w="152"/>
        <w:gridCol w:w="109"/>
        <w:gridCol w:w="109"/>
        <w:gridCol w:w="109"/>
        <w:gridCol w:w="211"/>
        <w:gridCol w:w="616"/>
        <w:gridCol w:w="109"/>
        <w:gridCol w:w="109"/>
        <w:gridCol w:w="109"/>
        <w:gridCol w:w="109"/>
        <w:gridCol w:w="211"/>
        <w:gridCol w:w="406"/>
        <w:gridCol w:w="109"/>
        <w:gridCol w:w="109"/>
        <w:gridCol w:w="109"/>
        <w:gridCol w:w="109"/>
        <w:gridCol w:w="211"/>
        <w:gridCol w:w="616"/>
        <w:gridCol w:w="154"/>
      </w:tblGrid>
      <w:tr>
        <w:trPr/>
        <w:tc>
          <w:tcPr>
            <w:tcW w:w="91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2"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United States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United Kingdom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Bermuda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Earned insurance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 and fee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and service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117.0 </w:t>
            </w:r>
          </w:p>
        </w:tc>
        <w:tc>
          <w:tcPr>
            <w:tcW w:w="1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229.0 </w:t>
            </w:r>
          </w:p>
        </w:tc>
        <w:tc>
          <w:tcPr>
            <w:tcW w:w="1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494.8 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630"/>
        <w:jc w:val="left"/>
        <w:rPr/>
      </w:pPr>
      <w:r>
        <w:rPr/>
      </w:r>
    </w:p>
    <w:p>
      <w:pPr>
        <w:pStyle w:val="TextBody"/>
        <w:bidi w:val="0"/>
        <w:spacing w:before="60" w:after="283"/>
        <w:ind w:left="0" w:right="0" w:hanging="63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9349" w:type="dxa"/>
        <w:jc w:val="center"/>
        <w:tblInd w:w="0" w:type="dxa"/>
        <w:tblLayout w:type="fixed"/>
        <w:tblCellMar>
          <w:top w:w="28" w:type="dxa"/>
          <w:left w:w="28" w:type="dxa"/>
          <w:bottom w:w="28" w:type="dxa"/>
          <w:right w:w="28" w:type="dxa"/>
        </w:tblCellMar>
      </w:tblPr>
      <w:tblGrid>
        <w:gridCol w:w="916"/>
        <w:gridCol w:w="805"/>
        <w:gridCol w:w="814"/>
        <w:gridCol w:w="109"/>
        <w:gridCol w:w="109"/>
        <w:gridCol w:w="109"/>
        <w:gridCol w:w="240"/>
        <w:gridCol w:w="701"/>
        <w:gridCol w:w="125"/>
        <w:gridCol w:w="109"/>
        <w:gridCol w:w="109"/>
        <w:gridCol w:w="109"/>
        <w:gridCol w:w="294"/>
        <w:gridCol w:w="859"/>
        <w:gridCol w:w="152"/>
        <w:gridCol w:w="109"/>
        <w:gridCol w:w="109"/>
        <w:gridCol w:w="109"/>
        <w:gridCol w:w="211"/>
        <w:gridCol w:w="616"/>
        <w:gridCol w:w="109"/>
        <w:gridCol w:w="109"/>
        <w:gridCol w:w="109"/>
        <w:gridCol w:w="109"/>
        <w:gridCol w:w="211"/>
        <w:gridCol w:w="406"/>
        <w:gridCol w:w="109"/>
        <w:gridCol w:w="109"/>
        <w:gridCol w:w="109"/>
        <w:gridCol w:w="109"/>
        <w:gridCol w:w="211"/>
        <w:gridCol w:w="781"/>
        <w:gridCol w:w="154"/>
      </w:tblGrid>
      <w:tr>
        <w:trPr/>
        <w:tc>
          <w:tcPr>
            <w:tcW w:w="91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7"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United States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United Kingdom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Bermuda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Earned insurance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468.8 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769.5</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 and fee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103.6</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and service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164.0</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260.6 </w:t>
            </w:r>
          </w:p>
        </w:tc>
        <w:tc>
          <w:tcPr>
            <w:tcW w:w="1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468.8 </w:t>
            </w:r>
          </w:p>
        </w:tc>
        <w:tc>
          <w:tcPr>
            <w:tcW w:w="1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1,037.1</w:t>
            </w:r>
            <w:r>
              <w:rPr>
                <w:color w:val="000000"/>
              </w:rPr>
              <w:t>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630"/>
        <w:jc w:val="left"/>
        <w:rPr/>
      </w:pPr>
      <w:r>
        <w:rPr/>
      </w:r>
    </w:p>
    <w:tbl>
      <w:tblPr>
        <w:tblW w:w="9184" w:type="dxa"/>
        <w:jc w:val="center"/>
        <w:tblInd w:w="0" w:type="dxa"/>
        <w:tblLayout w:type="fixed"/>
        <w:tblCellMar>
          <w:top w:w="28" w:type="dxa"/>
          <w:left w:w="28" w:type="dxa"/>
          <w:bottom w:w="28" w:type="dxa"/>
          <w:right w:w="28" w:type="dxa"/>
        </w:tblCellMar>
      </w:tblPr>
      <w:tblGrid>
        <w:gridCol w:w="916"/>
        <w:gridCol w:w="805"/>
        <w:gridCol w:w="814"/>
        <w:gridCol w:w="109"/>
        <w:gridCol w:w="109"/>
        <w:gridCol w:w="109"/>
        <w:gridCol w:w="240"/>
        <w:gridCol w:w="701"/>
        <w:gridCol w:w="125"/>
        <w:gridCol w:w="109"/>
        <w:gridCol w:w="109"/>
        <w:gridCol w:w="109"/>
        <w:gridCol w:w="294"/>
        <w:gridCol w:w="859"/>
        <w:gridCol w:w="152"/>
        <w:gridCol w:w="109"/>
        <w:gridCol w:w="109"/>
        <w:gridCol w:w="109"/>
        <w:gridCol w:w="211"/>
        <w:gridCol w:w="616"/>
        <w:gridCol w:w="109"/>
        <w:gridCol w:w="109"/>
        <w:gridCol w:w="109"/>
        <w:gridCol w:w="109"/>
        <w:gridCol w:w="211"/>
        <w:gridCol w:w="406"/>
        <w:gridCol w:w="109"/>
        <w:gridCol w:w="109"/>
        <w:gridCol w:w="109"/>
        <w:gridCol w:w="109"/>
        <w:gridCol w:w="211"/>
        <w:gridCol w:w="616"/>
        <w:gridCol w:w="154"/>
      </w:tblGrid>
      <w:tr>
        <w:trPr/>
        <w:tc>
          <w:tcPr>
            <w:tcW w:w="916"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2"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United States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United Kingdom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Bermuda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Earned insurance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12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444.5 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 and fee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and service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189.7 </w:t>
            </w:r>
          </w:p>
        </w:tc>
        <w:tc>
          <w:tcPr>
            <w:tcW w:w="1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444.5 </w:t>
            </w:r>
          </w:p>
        </w:tc>
        <w:tc>
          <w:tcPr>
            <w:tcW w:w="1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309.2 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951.5 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180"/>
        <w:jc w:val="left"/>
        <w:rPr/>
      </w:pPr>
      <w:r>
        <w:rPr/>
      </w:r>
    </w:p>
    <w:p>
      <w:pPr>
        <w:pStyle w:val="TextBody"/>
        <w:bidi w:val="0"/>
        <w:spacing w:lineRule="auto" w:line="288" w:before="60" w:after="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White Mountains’s balance sheet information by segment as of June 30, 2026 and December 31, 2025:</w:t>
      </w:r>
    </w:p>
    <w:tbl>
      <w:tblPr>
        <w:tblW w:w="11117" w:type="dxa"/>
        <w:jc w:val="center"/>
        <w:tblInd w:w="0" w:type="dxa"/>
        <w:tblLayout w:type="fixed"/>
        <w:tblCellMar>
          <w:top w:w="28" w:type="dxa"/>
          <w:left w:w="28" w:type="dxa"/>
          <w:bottom w:w="28" w:type="dxa"/>
          <w:right w:w="28" w:type="dxa"/>
        </w:tblCellMar>
      </w:tblPr>
      <w:tblGrid>
        <w:gridCol w:w="780"/>
        <w:gridCol w:w="225"/>
        <w:gridCol w:w="226"/>
        <w:gridCol w:w="109"/>
        <w:gridCol w:w="109"/>
        <w:gridCol w:w="109"/>
        <w:gridCol w:w="211"/>
        <w:gridCol w:w="766"/>
        <w:gridCol w:w="109"/>
        <w:gridCol w:w="109"/>
        <w:gridCol w:w="109"/>
        <w:gridCol w:w="109"/>
        <w:gridCol w:w="211"/>
        <w:gridCol w:w="766"/>
        <w:gridCol w:w="109"/>
        <w:gridCol w:w="109"/>
        <w:gridCol w:w="109"/>
        <w:gridCol w:w="109"/>
        <w:gridCol w:w="211"/>
        <w:gridCol w:w="766"/>
        <w:gridCol w:w="109"/>
        <w:gridCol w:w="109"/>
        <w:gridCol w:w="109"/>
        <w:gridCol w:w="109"/>
        <w:gridCol w:w="240"/>
        <w:gridCol w:w="701"/>
        <w:gridCol w:w="125"/>
        <w:gridCol w:w="109"/>
        <w:gridCol w:w="109"/>
        <w:gridCol w:w="109"/>
        <w:gridCol w:w="211"/>
        <w:gridCol w:w="616"/>
        <w:gridCol w:w="109"/>
        <w:gridCol w:w="109"/>
        <w:gridCol w:w="109"/>
        <w:gridCol w:w="109"/>
        <w:gridCol w:w="211"/>
        <w:gridCol w:w="766"/>
        <w:gridCol w:w="109"/>
        <w:gridCol w:w="109"/>
        <w:gridCol w:w="109"/>
        <w:gridCol w:w="109"/>
        <w:gridCol w:w="211"/>
        <w:gridCol w:w="886"/>
        <w:gridCol w:w="154"/>
      </w:tblGrid>
      <w:tr>
        <w:trPr/>
        <w:tc>
          <w:tcPr>
            <w:tcW w:w="78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br/>
              <w:t>Selected Balance Sheet Data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Ark/WM Outrigger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Kudu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HG Global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Distinguished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WTM Partners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br/>
              <w:t>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0"/>
              </w:rPr>
            </w:pPr>
            <w:r>
              <w:rPr>
                <w:rFonts w:ascii="Times New Roman;serif" w:hAnsi="Times New Roman;serif"/>
                <w:b w:val="false"/>
                <w:color w:val="000000"/>
                <w:sz w:val="10"/>
              </w:rPr>
              <w:t>(1)</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8,134.4</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744.8 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0"/>
              </w:rPr>
            </w:pPr>
            <w:r>
              <w:rPr>
                <w:rFonts w:ascii="Times New Roman;serif" w:hAnsi="Times New Roman;serif"/>
                <w:b w:val="false"/>
                <w:color w:val="000000"/>
                <w:sz w:val="10"/>
              </w:rPr>
              <w:t>(2) (3)</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13,766.7</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0"/>
              </w:rPr>
            </w:pPr>
            <w:r>
              <w:rPr>
                <w:rFonts w:ascii="Times New Roman;serif" w:hAnsi="Times New Roman;serif"/>
                <w:b w:val="false"/>
                <w:color w:val="000000"/>
                <w:sz w:val="10"/>
              </w:rPr>
              <w:t>(2)</w:t>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332.2 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0"/>
              </w:rPr>
            </w:pPr>
            <w:r>
              <w:rPr>
                <w:rFonts w:ascii="Times New Roman;serif" w:hAnsi="Times New Roman;serif"/>
                <w:b w:val="false"/>
                <w:color w:val="000000"/>
                <w:sz w:val="10"/>
              </w:rPr>
              <w:t>(2) (3)</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7,514.7</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Redeemable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131.5</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Total White Mountains’s </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common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0"/>
              </w:rPr>
            </w:pPr>
            <w:r>
              <w:rPr>
                <w:rFonts w:ascii="Times New Roman;serif" w:hAnsi="Times New Roman;serif"/>
                <w:b w:val="false"/>
                <w:color w:val="000000"/>
                <w:sz w:val="10"/>
              </w:rPr>
              <w:t>(2)</w:t>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205.1 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0"/>
              </w:rPr>
            </w:pPr>
            <w:r>
              <w:rPr>
                <w:rFonts w:ascii="Times New Roman;serif" w:hAnsi="Times New Roman;serif"/>
                <w:b w:val="false"/>
                <w:color w:val="000000"/>
                <w:sz w:val="10"/>
              </w:rPr>
              <w:t>(2)</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5,388.3</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Nonredeemable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732.2</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3,926.5 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0"/>
              </w:rPr>
            </w:pPr>
            <w:r>
              <w:rPr>
                <w:rFonts w:ascii="Times New Roman;serif" w:hAnsi="Times New Roman;serif"/>
                <w:b w:val="false"/>
                <w:color w:val="000000"/>
                <w:sz w:val="10"/>
              </w:rPr>
              <w:t>(1)</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8,323.9 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735.4 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0"/>
              </w:rPr>
            </w:pPr>
            <w:r>
              <w:rPr>
                <w:rFonts w:ascii="Times New Roman;serif" w:hAnsi="Times New Roman;serif"/>
                <w:b w:val="false"/>
                <w:color w:val="000000"/>
                <w:sz w:val="10"/>
              </w:rPr>
              <w:t>(2) (3)</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12,306.5 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0"/>
              </w:rPr>
            </w:pPr>
            <w:r>
              <w:rPr>
                <w:rFonts w:ascii="Times New Roman;serif" w:hAnsi="Times New Roman;serif"/>
                <w:b w:val="false"/>
                <w:color w:val="000000"/>
                <w:sz w:val="10"/>
              </w:rPr>
              <w:t>(2)</w:t>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307.1 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0"/>
              </w:rPr>
            </w:pPr>
            <w:r>
              <w:rPr>
                <w:rFonts w:ascii="Times New Roman;serif" w:hAnsi="Times New Roman;serif"/>
                <w:b w:val="false"/>
                <w:color w:val="000000"/>
                <w:sz w:val="10"/>
              </w:rPr>
              <w:t>(2) (3)</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6,051.4 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Redeemable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Total White Mountains’s </w:t>
            </w:r>
          </w:p>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common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0"/>
              </w:rPr>
            </w:pPr>
            <w:r>
              <w:rPr>
                <w:rFonts w:ascii="Times New Roman;serif" w:hAnsi="Times New Roman;serif"/>
                <w:b w:val="false"/>
                <w:color w:val="000000"/>
                <w:sz w:val="10"/>
              </w:rPr>
              <w:t>(2)</w:t>
            </w:r>
          </w:p>
        </w:tc>
        <w:tc>
          <w:tcPr>
            <w:tcW w:w="24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223.1 </w:t>
            </w:r>
          </w:p>
        </w:tc>
        <w:tc>
          <w:tcPr>
            <w:tcW w:w="12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0"/>
              </w:rPr>
            </w:pPr>
            <w:r>
              <w:rPr>
                <w:rFonts w:ascii="Times New Roman;serif" w:hAnsi="Times New Roman;serif"/>
                <w:b w:val="false"/>
                <w:color w:val="000000"/>
                <w:sz w:val="10"/>
              </w:rPr>
              <w:t>(2)</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5,425.4 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Nonredeemable noncontrolling interests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465.2 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0"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73.7 </w:t>
            </w:r>
          </w:p>
        </w:tc>
        <w:tc>
          <w:tcPr>
            <w:tcW w:w="125"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698.2 </w:t>
            </w:r>
          </w:p>
        </w:tc>
        <w:tc>
          <w:tcPr>
            <w:tcW w:w="154"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18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 xml:space="preserve">Total investments as of June 30, 2026 and December 31, 2025 exclude $1.6 and $1.0 related to an Other Operating Business that was reclassified to assets held for sale. See </w:t>
      </w:r>
      <w:r>
        <w:rPr>
          <w:rFonts w:ascii="Times New Roman;serif" w:hAnsi="Times New Roman;serif"/>
          <w:b/>
          <w:color w:val="000000"/>
          <w:sz w:val="16"/>
        </w:rPr>
        <w:t>Note 19 — “Held for Sale.”</w:t>
      </w:r>
    </w:p>
    <w:p>
      <w:pPr>
        <w:pStyle w:val="TextBody"/>
        <w:bidi w:val="0"/>
        <w:spacing w:lineRule="auto" w:line="288" w:before="0" w:after="0"/>
        <w:ind w:left="0" w:right="0" w:hanging="18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 xml:space="preserve">HG Global preferred dividends payable to White Mountains’s subsidiaries are eliminated in White Mountains’s consolidated financial statements. For segment reporting, the HG Global preferred dividends payable to White Mountains’s subsidiaries included within the HG Global segment are eliminated against the offsetting receivable included within Other Operations and therefore added back to White Mountains’s common shareholders’ equity within the HG Global segment. As of June 30, 2026 and December 31, 2025, the HG Global preferred dividends payable to White Mountains’s subsidiaries were $470.7 and $527.2. </w:t>
      </w:r>
    </w:p>
    <w:p>
      <w:pPr>
        <w:pStyle w:val="TextBody"/>
        <w:bidi w:val="0"/>
        <w:spacing w:lineRule="auto" w:line="288" w:before="0" w:after="0"/>
        <w:ind w:left="0" w:right="0" w:hanging="180"/>
        <w:jc w:val="left"/>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 xml:space="preserve">Amounts include held for sale balances. See </w:t>
      </w:r>
      <w:r>
        <w:rPr>
          <w:rFonts w:ascii="Times New Roman;serif" w:hAnsi="Times New Roman;serif"/>
          <w:b/>
          <w:color w:val="000000"/>
          <w:sz w:val="16"/>
        </w:rPr>
        <w:t>Note 19 — “Held for Sale.”</w:t>
      </w:r>
    </w:p>
    <w:p>
      <w:pPr>
        <w:pStyle w:val="TextBody"/>
        <w:bidi w:val="0"/>
        <w:spacing w:before="0" w:after="0"/>
        <w:ind w:left="0" w:right="0" w:hanging="27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Note 15. Variable Interest Entities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Under GAAP, White Mountains is required to consolidate any entity in which it holds a controlling financial interest. A controlling financial interest is usually in the form of an investment representing the majority of the subsidiary’s voting interests. However, a controlling financial interest may also arise from a financial interest in a variable interest entity (“VIE”) through arrangements that do not involve ownership of voting interests. A VIE is a legal entity that (i) does not have sufficient equity at risk to finance its activities without additional financial support; (ii) is structured such that equity investors, as a group, lack the power, through voting or similar rights, to direct the activities that most significantly impact the entity’s economic performance; (iii) is structured such that the equity investors lack the obligation to absorb losses of, or the right to receive returns from, the entity; or (iv) is structured with non-substantive voting rights. White Mountains determines whether an entity is a VIE at the inception of its variable interest in the entity and upon the occurrence of certain reconsideration events.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White Mountains consolidates a VIE if it determines that it is the primary beneficiary. The primary beneficiary is defined as the entity that holds a variable interest that gives it both the power to direct the VIE’s activities that most significantly impact its economic performance and the obligation to absorb losses of, or the right to receive returns from, the VIE that could potentially be significant to the VIE. The identification of the primary beneficiary of a VIE may require significant assumptions and judgment. When White Mountains determines it has a variable interest in a VIE, it determines whether it is the primary beneficiary of that VIE by performing an analysis that principally considers: (i) the VIE’s purpose and design, including the risks the VIE was designed to create and pass through to its variable interest holders; (ii) the VIE’s capital structure; (iii) the identification of the activities that most significantly impact the VIE’s economic performance; (iv) the governance provisions and other contractual arrangements between the VIE and its variable interest holders and other parties involved with the VIE; and (v) related party relationships. At inception of its variable interest in the VIE as well as on an ongoing basis, White Mountains performs qualitative assessments of each VIE to determine whether White Mountains is the primary beneficiary of a VIE.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WM Outrigger 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 White Mountains owned 100.0% of WM Outrigger Re’s preferred equity. White Mountains has determined that Outrigger Re Ltd. and its segregated accounts, including WM Outrigger Re, are VIEs. White Mountains is not the primary beneficiary of Outrigger Re Ltd. or its third-party segregated accounts. White Mountains is the primary beneficiary of WM Outrigger Re, as it has both the power to direct the activities that most significantly impact WM Outrigger Re’s economic performance and the obligation to absorb losses, or the right to receive returns, that could potentially be significant to WM Outrigger Re. As a result, White Mountains consolidates WM Outrigger Re’s results in its financial statements. The assets of WM Outrigger Re can only be used to settle the liabilities of WM Outrigger Re, and there is no recourse to the Company for any creditors of WM Outrigger Re. WM Outrigger Re’s obligations under its reinsurance agreement with GAIL are subject to an aggregate limit equal to the assets in its collateral trust at any point in time. As of June 30, 2026, investments of $122.6 million were held in its collateral trust account.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BAM</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BAM is the first and only mutual municipal bond insurance company in the United States. HG Global, together with its subsidiaries, funded the initial capitalization of BAM through the purchase of $503.0 million of BAM Surplus Notes and, through its reinsurance subsidiary HG Re, provides first-loss reinsurance protection of up to 15%-of-par outstanding for each policy assumed from BAM. As a mutual insurance company, BAM is owned by and operated for the benefit of its members, the municipalities whose debt issuances are insured by BAM. White Mountains has determined that BAM is a VIE.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BAM’s underwriting process was determined to be the activity that most significantly impacts BAM’s economic performance. BAM’s underwriting guidelines define the types of credits that BAM may insure. BAM has the ability to change its underwriting guidelines without HG Re’s approval. Pursuant to the FLRT, HG Re is only required to provide reinsurance on policies that fall within a separate set of FLRT underwriting guidelines. Changes to these FLRT underwriting guidelines require HG Re’s approval. However, because BAM may amend the BAM underwriting guidelines without the consent of HG Re, White Mountains does not have the power to direct BAM’s activities that most significantly impact its economic performance and is not BAM’s primary beneficiary. Accordingly, White Mountains does not consolidate BAM.</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BAM’s assets can only be used to settle BAM’s obligations, and general creditors of BAM have no recourse to the Company or HG Global. HG Re’s obligations to BAM under the FLRT are subject to an aggregate limit equal to the assets in the Collateral Trusts at any point in time. As of June 30, 2026, the Collateral Trusts held assets of $1,013.7 million.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Distinguished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White Mountains had a 55.3% limited partnership interest in Distinguished. White Mountains has determined that Distinguished is a VIE. As a limited partnership, Distinguished is a VIE because the limited partnership interests do not have substantive kick-out rights or participating rights. White Mountains is the primary beneficiary of Distinguished, as it has both the power to direct the activities that most significantly impact Distinguished’s economic performance through its control of Distinguished’s general partner and the obligation to absorb losses, or the right to receive returns, that could potentially be significant to Distinguished through its basic units owned. As a result, White Mountains consolidates Distinguished’s results in its financial statements. The assets of Distinguished can only be used to settle the liabilities of Distinguished, and there is no recourse to the Company for any creditors of Distinguished.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Bamboo SPV</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White Mountains had a 27.9% limited partnership interest in the Bamboo SPV. White Mountains has determined that the Bamboo SPV is a VIE but that White Mountains is not the primary beneficiary and therefore does not consolidate the Bamboo SPV. White Mountains’s ownership interest gives White Mountains the ability to exert significant influence over the significant financial and operating activities of the Bamboo SPV. Accordingly, the Bamboo SPV meets the criteria to be accounted for under the equity method. White Mountains has taken the fair value option for its investment in the Bamboo SPV. Changes in the fair value of the Bamboo SPV are recorded in net realized and unrealized investment gains (losses). As of June 30, 2026, White Mountains’s maximum exposure to loss on its limited partnership interest in the Bamboo SPV is the carrying value of $280.0 million.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PassportCard/DavidShield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White Mountains’s ownership interest in PassportCard/DavidShield was 53.8%. White Mountains has determined that PassportCard/DavidShield is a VIE but that White Mountains is not the primary beneficiary and therefore does not consolidate PassportCard/DavidShield. The governance structure for PassportCard/DavidShield was designed to give White Mountains and its co-investor equal power to make the decisions that most significantly impact its operations. White Mountains does not have the unilateral power to direct the operations of PassportCard/DavidShield and does not hold a controlling financial interest. White Mountains’s ownership interest gives White Mountains the ability to exert significant influence over the significant financial and operating activities of PassportCard/DavidShield. Accordingly, White Mountains’s investment in PassportCard/DavidShield meets the criteria to be accounted for under the equity method. White Mountains has taken the fair value option for its investment in PassportCard/DavidShield. Changes in the fair value of PassportCard/DavidShield are recorded in net realized and unrealized investment gains (losses).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 White Mountains’s maximum exposure to loss on its interests in PassportCard/DavidShield is the total carrying value of $190.0 million, which includes its equity investment valued at $170.0 million and two private debt instruments valued at $20.0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BroadStreet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 White Mountains’s had a 10.9% limited partnership interest in the BroadStreet SPV. White Mountains has determined that the BroadStreet SPV is a VIE but that White Mountains is not the primary beneficiary and therefore does not consolidate the BroadStreet SPV. White Mountains’s ownership interest gives White Mountains the ability to exert significant influence over the significant financial and operating activities of the BroadStreet SPV. Accordingly, the BroadStreet SPV meets the criteria to be accounted for under the equity method. White Mountains has taken the fair value option for its investment in the BroadStreet SPV, which is measured at NAV as a practical expedient. Changes in the fair value of the BroadStreet SPV are recorded in net realized and unrealized investment gains (losses). As of June 30, 2026, White Mountains’s maximum exposure to loss on its limited partnership interest in the BroadStreet SPV is the carrying value of $176.2 million.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Limited Partnerships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White Mountains’s investments in limited partnerships are generally considered VIEs because the limited partnership interests do not have substantive kick-out rights or participating rights. White Mountains does not have the unilateral power to direct the operations of these limited partnerships, and therefore White Mountains is not the primary beneficiary and does not consolidate the limited partnerships. White Mountains has taken the fair value option for its investments in limited partnerships, which are generally measured at NAV as a practical expedient. Changes in the fair value of the limited partnerships are recorded in net realized and unrealized investment gains (losses). As of June 30, 2026, White Mountains’s maximum exposure to loss on its investments in limited partnerships is the carrying value of $283.2 million.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Note 16. Equity Method Eligible Investments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White Mountains’s equity method eligible investments include those in which White Mountains has the ability to exert significant influence over the investee’s operating and financial policies. Under GAAP, equity method eligible investments are considered related parties. White Mountains has generally taken the fair value option for its equity method eligible investments.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ownership interests and carrying values of White Mountains’s equity method eligible investments as of June 30, 2026 and December 31, 2025: </w:t>
      </w:r>
    </w:p>
    <w:tbl>
      <w:tblPr>
        <w:tblW w:w="10205" w:type="dxa"/>
        <w:jc w:val="center"/>
        <w:tblInd w:w="0" w:type="dxa"/>
        <w:tblLayout w:type="fixed"/>
        <w:tblCellMar>
          <w:top w:w="28" w:type="dxa"/>
          <w:left w:w="28" w:type="dxa"/>
          <w:bottom w:w="28" w:type="dxa"/>
          <w:right w:w="28" w:type="dxa"/>
        </w:tblCellMar>
      </w:tblPr>
      <w:tblGrid>
        <w:gridCol w:w="1260"/>
        <w:gridCol w:w="1103"/>
        <w:gridCol w:w="1115"/>
        <w:gridCol w:w="109"/>
        <w:gridCol w:w="109"/>
        <w:gridCol w:w="109"/>
        <w:gridCol w:w="488"/>
        <w:gridCol w:w="488"/>
        <w:gridCol w:w="490"/>
        <w:gridCol w:w="109"/>
        <w:gridCol w:w="109"/>
        <w:gridCol w:w="109"/>
        <w:gridCol w:w="235"/>
        <w:gridCol w:w="875"/>
        <w:gridCol w:w="121"/>
        <w:gridCol w:w="109"/>
        <w:gridCol w:w="109"/>
        <w:gridCol w:w="109"/>
        <w:gridCol w:w="479"/>
        <w:gridCol w:w="479"/>
        <w:gridCol w:w="481"/>
        <w:gridCol w:w="109"/>
        <w:gridCol w:w="109"/>
        <w:gridCol w:w="109"/>
        <w:gridCol w:w="237"/>
        <w:gridCol w:w="865"/>
        <w:gridCol w:w="181"/>
      </w:tblGrid>
      <w:tr>
        <w:trPr/>
        <w:tc>
          <w:tcPr>
            <w:tcW w:w="1260"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34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Ownership 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Ownership 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r>
      <w:tr>
        <w:trPr/>
        <w:tc>
          <w:tcPr>
            <w:tcW w:w="34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Kudu’s Participation Contracts </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 - 30.0%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1,344.6</w:t>
            </w:r>
            <w:r>
              <w:rPr>
                <w:color w:val="000000"/>
              </w:rPr>
              <w:t>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4.1% - 30.0%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1,285.0 </w:t>
            </w:r>
          </w:p>
        </w:tc>
        <w:tc>
          <w:tcPr>
            <w:tcW w:w="18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Bamboo SPV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280.0</w:t>
            </w: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BroadStreet SPV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176.2</w:t>
            </w: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PassportCard/DavidShield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170.0</w:t>
            </w: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Investment in MediaAlpha </w:t>
            </w:r>
            <w:r>
              <w:rPr>
                <w:rFonts w:ascii="Times New Roman;serif" w:hAnsi="Times New Roman;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224.5</w:t>
            </w: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231.2 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equity method eligible investments </w:t>
            </w:r>
            <w:r>
              <w:rPr>
                <w:rFonts w:ascii="Times New Roman;serif" w:hAnsi="Times New Roman;serif"/>
                <w:b w:val="false"/>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Under 50.0%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288.4</w:t>
            </w:r>
            <w:r>
              <w:rPr>
                <w:color w:val="000000"/>
              </w:rPr>
              <w:t>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Under 50.0%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301.0 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equity method eligible investments </w:t>
            </w:r>
            <w:r>
              <w:rPr>
                <w:rFonts w:ascii="Times New Roman;serif" w:hAnsi="Times New Roman;serif"/>
                <w:b w:val="false"/>
                <w:color w:val="000000"/>
                <w:sz w:val="10"/>
              </w:rPr>
              <w:t>(4)</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50.0% and over</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5"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5"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21.0</w:t>
            </w:r>
            <w:r>
              <w:rPr>
                <w:color w:val="000000"/>
              </w:rPr>
              <w:t> </w:t>
            </w:r>
          </w:p>
        </w:tc>
        <w:tc>
          <w:tcPr>
            <w:tcW w:w="12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 and over</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7"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5"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r>
        <w:trPr/>
        <w:tc>
          <w:tcPr>
            <w:tcW w:w="3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18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Ownership interest references basic ownership interest with the exception of Kudu’s Participation Contracts, which are generally noncontrolling equity interests in the form of revenue and earnings participation contracts.</w:t>
      </w:r>
    </w:p>
    <w:p>
      <w:pPr>
        <w:pStyle w:val="TextBody"/>
        <w:bidi w:val="0"/>
        <w:spacing w:lineRule="auto" w:line="288" w:before="0" w:after="0"/>
        <w:ind w:left="0" w:right="0" w:hanging="18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MediaAlpha’s ownership interest is based on the total class A and class B common shares outstanding.</w:t>
      </w:r>
    </w:p>
    <w:p>
      <w:pPr>
        <w:pStyle w:val="TextBody"/>
        <w:bidi w:val="0"/>
        <w:spacing w:lineRule="auto" w:line="288" w:before="0" w:after="0"/>
        <w:ind w:left="0" w:right="0" w:hanging="180"/>
        <w:jc w:val="left"/>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Includes certain other unconsolidated entities, private equity funds and an ILS fund.</w:t>
      </w:r>
    </w:p>
    <w:p>
      <w:pPr>
        <w:pStyle w:val="TextBody"/>
        <w:bidi w:val="0"/>
        <w:spacing w:lineRule="auto" w:line="288" w:before="0" w:after="0"/>
        <w:ind w:left="0" w:right="0" w:hanging="180"/>
        <w:jc w:val="left"/>
        <w:rPr/>
      </w:pPr>
      <w:r>
        <w:rPr>
          <w:rFonts w:ascii="Times New Roman;serif" w:hAnsi="Times New Roman;serif"/>
          <w:b w:val="false"/>
          <w:color w:val="000000"/>
          <w:sz w:val="10"/>
        </w:rPr>
        <w:t>(4)</w:t>
      </w:r>
      <w:r>
        <w:rPr>
          <w:color w:val="000000"/>
        </w:rPr>
        <w:t xml:space="preserve"> </w:t>
      </w:r>
      <w:r>
        <w:rPr>
          <w:rFonts w:ascii="Times New Roman;serif" w:hAnsi="Times New Roman;serif"/>
          <w:b w:val="false"/>
          <w:color w:val="000000"/>
          <w:sz w:val="16"/>
        </w:rPr>
        <w:t>Represents a private equity fund.</w:t>
      </w:r>
    </w:p>
    <w:p>
      <w:pPr>
        <w:pStyle w:val="TextBody"/>
        <w:bidi w:val="0"/>
        <w:spacing w:before="0" w:after="0"/>
        <w:ind w:left="0" w:right="0" w:hanging="180"/>
        <w:jc w:val="left"/>
        <w:rPr/>
      </w:pPr>
      <w:r>
        <w:rPr/>
      </w:r>
    </w:p>
    <w:p>
      <w:pPr>
        <w:pStyle w:val="TextBody"/>
        <w:bidi w:val="0"/>
        <w:spacing w:lineRule="auto" w:line="288" w:before="60" w:after="283"/>
        <w:jc w:val="left"/>
        <w:rPr/>
      </w:pPr>
      <w:r>
        <w:rPr>
          <w:rFonts w:ascii="Times New Roman;serif" w:hAnsi="Times New Roman;serif"/>
          <w:b w:val="false"/>
          <w:color w:val="000000"/>
          <w:sz w:val="20"/>
        </w:rPr>
        <w:t>For the three and six months ended June 30, 2026, White Mountains received dividend and income distributions from equity method eligible investme</w:t>
      </w:r>
      <w:r>
        <w:rPr>
          <w:rFonts w:ascii="Times New Roman;serif" w:hAnsi="Times New Roman;serif"/>
          <w:b w:val="false"/>
          <w:color w:val="000000"/>
          <w:sz w:val="20"/>
          <w:shd w:fill="FFFFFF" w:val="clear"/>
        </w:rPr>
        <w:t xml:space="preserve">nts of </w:t>
      </w:r>
      <w:r>
        <w:rPr>
          <w:rFonts w:ascii="Times New Roman;serif" w:hAnsi="Times New Roman;serif"/>
          <w:b w:val="false"/>
          <w:color w:val="000000"/>
          <w:sz w:val="20"/>
        </w:rPr>
        <w:t xml:space="preserve">$22.7 million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$52.9 million</w:t>
      </w:r>
      <w:r>
        <w:rPr>
          <w:rFonts w:ascii="Times New Roman;serif" w:hAnsi="Times New Roman;serif"/>
          <w:b w:val="false"/>
          <w:color w:val="000000"/>
          <w:sz w:val="20"/>
          <w:shd w:fill="FFFFFF" w:val="clear"/>
        </w:rPr>
        <w:t xml:space="preserve">, which were generally recorded within net investment income in the consolidated statements of operations. </w:t>
      </w:r>
      <w:r>
        <w:rPr>
          <w:rFonts w:ascii="Times New Roman;serif" w:hAnsi="Times New Roman;serif"/>
          <w:b w:val="false"/>
          <w:color w:val="000000"/>
          <w:sz w:val="20"/>
        </w:rPr>
        <w:t>For the three and six months ended June 30, 2025, White Mountains received dividend and income distributions from equity method eligible investme</w:t>
      </w:r>
      <w:r>
        <w:rPr>
          <w:rFonts w:ascii="Times New Roman;serif" w:hAnsi="Times New Roman;serif"/>
          <w:b w:val="false"/>
          <w:color w:val="000000"/>
          <w:sz w:val="20"/>
          <w:shd w:fill="FFFFFF" w:val="clear"/>
        </w:rPr>
        <w:t xml:space="preserve">nts of </w:t>
      </w:r>
      <w:r>
        <w:rPr>
          <w:rFonts w:ascii="Times New Roman;serif" w:hAnsi="Times New Roman;serif"/>
          <w:b w:val="false"/>
          <w:color w:val="000000"/>
          <w:sz w:val="20"/>
        </w:rPr>
        <w:t xml:space="preserve">$20.3 million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$36.9 million.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Note 17. Fair Value of Financial Instruments</w:t>
      </w:r>
    </w:p>
    <w:p>
      <w:pPr>
        <w:pStyle w:val="TextBody"/>
        <w:bidi w:val="0"/>
        <w:spacing w:before="0" w:after="0"/>
        <w:jc w:val="left"/>
        <w:rPr/>
      </w:pPr>
      <w:r>
        <w:rPr/>
      </w:r>
    </w:p>
    <w:p>
      <w:pPr>
        <w:pStyle w:val="TextBody"/>
        <w:bidi w:val="0"/>
        <w:spacing w:lineRule="auto" w:line="288" w:before="60" w:after="283"/>
        <w:jc w:val="left"/>
        <w:rPr/>
      </w:pPr>
      <w:r>
        <w:rPr>
          <w:rFonts w:ascii="Times New Roman;serif" w:hAnsi="Times New Roman;serif"/>
          <w:b w:val="false"/>
          <w:color w:val="000000"/>
          <w:sz w:val="20"/>
        </w:rPr>
        <w:t xml:space="preserve">White Mountains records its financial instruments at fair value with the exception of debt obligations, which are recorded as debt at face value less unamortized debt issuance costs and original issue discount. See </w:t>
      </w:r>
      <w:r>
        <w:rPr>
          <w:rFonts w:ascii="Times New Roman;serif" w:hAnsi="Times New Roman;serif"/>
          <w:b/>
          <w:color w:val="000000"/>
          <w:sz w:val="20"/>
        </w:rPr>
        <w:t xml:space="preserve">Note 7 — “Debt.” </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The following table presents the fair value and carrying value of these financial instruments as of June 30, 2026 and December 31, 2025:</w:t>
      </w:r>
    </w:p>
    <w:tbl>
      <w:tblPr>
        <w:tblW w:w="8263" w:type="dxa"/>
        <w:jc w:val="center"/>
        <w:tblInd w:w="0" w:type="dxa"/>
        <w:tblLayout w:type="fixed"/>
        <w:tblCellMar>
          <w:top w:w="28" w:type="dxa"/>
          <w:left w:w="28" w:type="dxa"/>
          <w:bottom w:w="28" w:type="dxa"/>
          <w:right w:w="28" w:type="dxa"/>
        </w:tblCellMar>
      </w:tblPr>
      <w:tblGrid>
        <w:gridCol w:w="915"/>
        <w:gridCol w:w="807"/>
        <w:gridCol w:w="813"/>
        <w:gridCol w:w="109"/>
        <w:gridCol w:w="109"/>
        <w:gridCol w:w="109"/>
        <w:gridCol w:w="211"/>
        <w:gridCol w:w="631"/>
        <w:gridCol w:w="109"/>
        <w:gridCol w:w="109"/>
        <w:gridCol w:w="109"/>
        <w:gridCol w:w="109"/>
        <w:gridCol w:w="276"/>
        <w:gridCol w:w="826"/>
        <w:gridCol w:w="142"/>
        <w:gridCol w:w="109"/>
        <w:gridCol w:w="109"/>
        <w:gridCol w:w="109"/>
        <w:gridCol w:w="211"/>
        <w:gridCol w:w="616"/>
        <w:gridCol w:w="109"/>
        <w:gridCol w:w="109"/>
        <w:gridCol w:w="109"/>
        <w:gridCol w:w="109"/>
        <w:gridCol w:w="277"/>
        <w:gridCol w:w="810"/>
        <w:gridCol w:w="202"/>
      </w:tblGrid>
      <w:tr>
        <w:trPr/>
        <w:tc>
          <w:tcPr>
            <w:tcW w:w="915"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Ark 2021 Subordinated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177.3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159.0</w:t>
            </w:r>
            <w:r>
              <w:rPr>
                <w:color w:val="000000"/>
              </w:rPr>
              <w:t> </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159.7 </w:t>
            </w:r>
          </w:p>
        </w:tc>
        <w:tc>
          <w:tcPr>
            <w:tcW w:w="2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Kudu Credit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358.0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350.7</w:t>
            </w: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350.4 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HG Global 2026 Senior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200.0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197.4</w:t>
            </w: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HG Global 2022 Senior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Distinguished Credit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132.1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129.4</w:t>
            </w: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Distinguished other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w:t>
            </w: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WTM Partners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66.5</w:t>
            </w: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19.4 </w:t>
            </w:r>
          </w:p>
        </w:tc>
        <w:tc>
          <w:tcPr>
            <w:tcW w:w="2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Operations Debt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18.3</w:t>
            </w:r>
            <w:r>
              <w:rPr>
                <w:color w:val="000000"/>
              </w:rPr>
              <w:t>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18.0</w:t>
            </w:r>
            <w:r>
              <w:rPr>
                <w:color w:val="000000"/>
              </w:rPr>
              <w:t> </w:t>
            </w:r>
          </w:p>
        </w:tc>
        <w:tc>
          <w:tcPr>
            <w:tcW w:w="142"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7"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0"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202"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40" w:after="283"/>
        <w:ind w:left="0" w:right="0" w:firstLine="9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estimates for White Mountains’s debt obligations have been determined based on discounted cash flow analyses and are considered to be Level 3 measurements. </w:t>
      </w:r>
    </w:p>
    <w:p>
      <w:pPr>
        <w:pStyle w:val="TextBody"/>
        <w:bidi w:val="0"/>
        <w:spacing w:lineRule="auto" w:line="288" w:before="0" w:after="0"/>
        <w:jc w:val="left"/>
        <w:rPr/>
      </w:pPr>
      <w:r>
        <w:rPr>
          <w:rFonts w:ascii="Times New Roman;serif" w:hAnsi="Times New Roman;serif"/>
          <w:b w:val="false"/>
          <w:color w:val="000000"/>
          <w:sz w:val="20"/>
        </w:rPr>
        <w:t xml:space="preserve">For the fair value measurements associated with White Mountains’s investment securities see </w:t>
      </w:r>
      <w:r>
        <w:rPr>
          <w:rFonts w:ascii="Times New Roman;serif" w:hAnsi="Times New Roman;serif"/>
          <w:b/>
          <w:color w:val="000000"/>
          <w:sz w:val="20"/>
        </w:rPr>
        <w:t>Note 3 — “Investment Securities.”</w:t>
      </w:r>
      <w:r>
        <w:rPr>
          <w:color w:val="000000"/>
        </w:rPr>
        <w:t xml:space="preserve"> </w:t>
      </w:r>
      <w:r>
        <w:rPr>
          <w:rFonts w:ascii="Times New Roman;serif" w:hAnsi="Times New Roman;serif"/>
          <w:b w:val="false"/>
          <w:color w:val="000000"/>
          <w:sz w:val="20"/>
        </w:rPr>
        <w:t xml:space="preserve">For the fair value measurements associated with White Mountains’s derivative instruments see </w:t>
      </w:r>
      <w:r>
        <w:rPr>
          <w:rFonts w:ascii="Times New Roman;serif" w:hAnsi="Times New Roman;serif"/>
          <w:b/>
          <w:color w:val="000000"/>
          <w:sz w:val="20"/>
        </w:rPr>
        <w:t xml:space="preserve">Note 9 — “Derivatives.” </w:t>
      </w:r>
      <w:r>
        <w:rPr>
          <w:rFonts w:ascii="Times New Roman;serif" w:hAnsi="Times New Roman;serif"/>
          <w:b w:val="false"/>
          <w:color w:val="000000"/>
          <w:sz w:val="20"/>
        </w:rPr>
        <w:t xml:space="preserve">For the fair value measurements associated with the BAM Surplus Notes see </w:t>
      </w:r>
      <w:r>
        <w:rPr>
          <w:rFonts w:ascii="Times New Roman;serif" w:hAnsi="Times New Roman;serif"/>
          <w:b/>
          <w:color w:val="000000"/>
          <w:sz w:val="20"/>
        </w:rPr>
        <w:t>Note 10 — “Municipal Bond Guarantee Reinsurance.”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Note 18. Commitments and Contingencies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Legal Contingencies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White Mountains, and the insurance industry in general, is routinely subject to claims related litigation and arbitration in the normal course of business, as well as litigation and arbitration that do not arise from, nor are directly related to, claims activity. White Mountains’s estimates of the costs of settling matters routinely encountered in claims activity are reflected in the reserves for unpaid loss and LAE. See </w:t>
      </w:r>
      <w:r>
        <w:rPr>
          <w:rFonts w:ascii="Times New Roman;serif" w:hAnsi="Times New Roman;serif"/>
          <w:b/>
          <w:color w:val="000000"/>
          <w:sz w:val="20"/>
        </w:rPr>
        <w:t>Note 5 — “Loss and Loss Adjustment Expense Reserves.”</w:t>
      </w:r>
      <w:r>
        <w:rPr>
          <w:color w:val="000000"/>
        </w:rPr>
        <w:t xml:space="preserv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White Mountains considers the requirements of ASC 450 when evaluating its exposure to non-claims related litigation and arbitration. ASC 450 requires that accruals be established for litigation and arbitration if it is probable that a loss has been incurred and it can be reasonably estimated. ASC 450 also requires that litigation and arbitration be disclosed if it is probable that a loss has been incurred or if there is a reasonable possibility that a loss may have been incurred. White Mountains does not have any current non-claims related litigation that may have a material adverse effect on White Mountains’s financial condition, results of operations or cash flows.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Note 19. Held for Sale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White Mountains recognizes assets and liabilities classified as held for sale at the lower of carrying value on the date the asset is initially classified as held for sale or fair value less costs to sell. At the time of reclassification to held for sale, White Mountains ceases to recognize depreciation and amortization on assets held for sale.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White Mountains reported assets and liabilities held for sale related to the pending sale of an Other Operating Business, which included $1.6 million and $1.0 million of short-term investments, $0.3 million and $0.7 million of cash, $3.4 million and $3.3 million of other assets, and $4.0 million and $3.6 million of other liabilities.</w:t>
      </w:r>
    </w:p>
    <w:p>
      <w:pPr>
        <w:pStyle w:val="TextBody"/>
        <w:bidi w:val="0"/>
        <w:spacing w:before="160" w:after="283"/>
        <w:jc w:val="center"/>
        <w:rPr/>
      </w:pPr>
      <w:r>
        <w:rPr/>
      </w:r>
    </w:p>
    <w:p>
      <w:pPr>
        <w:pStyle w:val="TextBody"/>
        <w:bidi w:val="0"/>
        <w:spacing w:before="1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i/>
          <w:color w:val="000000"/>
          <w:sz w:val="20"/>
        </w:rPr>
        <w:t>The following discussion contains “forward-looking statements.” White Mountains intends statements that are not historical in nature, which are hereby identified as forward-looking statements, to be covered by the safe harbor provisions of the Private Securities Litigation Reform Act of 1995. White Mountains cannot promise that its expectations in such forward-looking statements will turn out to be correct. White Mountains’s actual results could be materially different from and worse than its expectations. See “</w:t>
      </w:r>
      <w:r>
        <w:rPr>
          <w:rFonts w:ascii="Times New Roman;serif" w:hAnsi="Times New Roman;serif"/>
          <w:b/>
          <w:color w:val="000000"/>
          <w:sz w:val="20"/>
        </w:rPr>
        <w:t>FORWARD-LOOKING STATEMENTS</w:t>
      </w:r>
      <w:r>
        <w:rPr>
          <w:color w:val="000000"/>
        </w:rPr>
        <w:t xml:space="preserve">” </w:t>
      </w:r>
      <w:r>
        <w:rPr>
          <w:rFonts w:ascii="Times New Roman;serif" w:hAnsi="Times New Roman;serif"/>
          <w:b w:val="false"/>
          <w:i/>
          <w:color w:val="000000"/>
          <w:sz w:val="20"/>
        </w:rPr>
        <w:t>on page </w:t>
      </w:r>
      <w:hyperlink w:anchor="if3b6a78c08cc435986c2cd9f5808536f_196">
        <w:r>
          <w:rPr>
            <w:rStyle w:val="InternetLink"/>
            <w:rFonts w:ascii="Times New Roman;serif" w:hAnsi="Times New Roman;serif"/>
            <w:b w:val="false"/>
            <w:i/>
            <w:strike w:val="false"/>
            <w:dstrike w:val="false"/>
            <w:color w:val="000000"/>
            <w:sz w:val="20"/>
            <w:u w:val="none"/>
            <w:effect w:val="none"/>
          </w:rPr>
          <w:t>89</w:t>
        </w:r>
      </w:hyperlink>
      <w:r>
        <w:rPr>
          <w:rFonts w:ascii="Times New Roman;serif" w:hAnsi="Times New Roman;serif"/>
          <w:b w:val="false"/>
          <w:i/>
          <w:color w:val="000000"/>
          <w:sz w:val="20"/>
        </w:rPr>
        <w:t xml:space="preserve"> for specific important factors that could cause actual results to differ materially from those contained in forward-looking statements.</w:t>
      </w:r>
    </w:p>
    <w:p>
      <w:pPr>
        <w:pStyle w:val="TextBody"/>
        <w:bidi w:val="0"/>
        <w:spacing w:lineRule="auto" w:line="288" w:before="0" w:after="0"/>
        <w:jc w:val="left"/>
        <w:rPr/>
      </w:pPr>
      <w:r>
        <w:rPr>
          <w:rFonts w:ascii="Times New Roman;serif" w:hAnsi="Times New Roman;serif"/>
          <w:b w:val="false"/>
          <w:i/>
          <w:color w:val="000000"/>
          <w:sz w:val="20"/>
        </w:rPr>
        <w:t xml:space="preserve">The following discussion also includes eleven non-GAAP financial measures: (i) Ark’s tangible book value, (ii) Ark’s growth in tangible book value, (iii) Ark’s tangible capital, (iv) Kudu’s </w:t>
      </w:r>
      <w:r>
        <w:rPr>
          <w:rFonts w:ascii="Times New Roman;serif" w:hAnsi="Times New Roman;serif"/>
          <w:b w:val="false"/>
          <w:color w:val="000000"/>
          <w:sz w:val="20"/>
        </w:rPr>
        <w:t>earnings before interest, taxes, depreciation and amortization (“EBITDA”)</w:t>
      </w:r>
      <w:r>
        <w:rPr>
          <w:rFonts w:ascii="Times New Roman;serif" w:hAnsi="Times New Roman;serif"/>
          <w:b w:val="false"/>
          <w:i/>
          <w:color w:val="000000"/>
          <w:sz w:val="20"/>
        </w:rPr>
        <w:t xml:space="preserve">, (v) Kudu’s adjusted EBITDA, (vi) Distinguished’s ScaleCo net income (loss), (vii) Distinguished’s ScaleCo EBITDA, (viii) Distinguished’s ScaleCo adjusted EBITDA, (ix) WTM Partners’s EBITDA, (x) WTM Partners’s adjusted EBITDA and (xi) total consolidated portfolio return excluding MediaAlpha. These non-GAAP financial measures have been reconciled from their most comparable GAAP financial measures on page </w:t>
      </w:r>
      <w:hyperlink w:anchor="if3b6a78c08cc435986c2cd9f5808536f_190">
        <w:r>
          <w:rPr>
            <w:rStyle w:val="InternetLink"/>
            <w:rFonts w:ascii="Times New Roman;serif" w:hAnsi="Times New Roman;serif"/>
            <w:b w:val="false"/>
            <w:i/>
            <w:strike w:val="false"/>
            <w:dstrike w:val="false"/>
            <w:color w:val="000000"/>
            <w:sz w:val="20"/>
            <w:u w:val="none"/>
            <w:effect w:val="none"/>
          </w:rPr>
          <w:t>87</w:t>
        </w:r>
      </w:hyperlink>
      <w:r>
        <w:rPr>
          <w:rFonts w:ascii="Times New Roman;serif" w:hAnsi="Times New Roman;serif"/>
          <w:b w:val="false"/>
          <w:i/>
          <w:color w:val="000000"/>
          <w:sz w:val="20"/>
        </w:rPr>
        <w:t>. White Mountains believes these measures to be useful in evaluating White Mountains’s financial performance and condition.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RESULTS OF OPERATIONS FOR THE THREE AND SIX MONTHS ENDED JUNE 30, 2026 and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White Mountains reported book value per share of $2,258 as of June 30, 2026, an increase of 4% in the second quarter of 2026 and 3% in the first six months of 2026, including dividends. Results in the second quarter and first six months of 2026 were driven primarily by strong operating company results and solid investment returns.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White Mountains reported book value per share of $1,804 as of June 30, 2025, an increase of 3% in both the second quarter and first six months of 2025, including dividends. Results in the second quarter and first six months of 2025 were driven primarily by solid operating company results and good investment returns.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Comprehensive income (loss) attributable to common shareholders was $199 million and $173 million in the second quarter and first six months of 2026 compared to $124 million and $159 million in the second quarter and first six months of 2025. Results in the second quarter and first six months of 2026 included $151 million and $161 million of net realized and unrealized investment gains compared to $87 million and $173 million in the second quarter and first six months of 2025. Results in the second quarter and first six months of 2026 also included $58 million and $(7) million of unrealized investment gains (losses) from White Mountains’s investment in MediaAlpha compared to $31 million and $(6) million in the second quarter and first six months of 2025.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second quarter of 2026, WTM Partners closed two new acquisitions. The acquisition of Basesix, a low voltage contracting platform, closed on April 1, 2026. WTM Partners deployed $97 million into Basesix. Enterprise Solutions’s bolt-on acquisition of Hawkeye Electric, a provider of specialty electrical contracting services, closed on May 1, 2026. WTM Partners deployed $35 million into Enterprise Solutions to fund the acquisition of Hawkeye Electric. Beginning in the second quarter of 2026, in conjunction with the acquisitions of Basesix and Hawkeye Electric, WTM Partners has been presented as a separate reportable segment. Prior period amounts have been reclassified to conform to the current period presentation.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second quarter of 2026, White Mountains repurchased and retired 91,194 of its common shares for $191</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million at an average share price of $2,092.72, or 93% of White Mountains’s June 30, 2026 book value per share. In the first six months of 2026, White Mountains repurchased and retired 103,816 of its common shares for $217 million at an average share price of $2,088.40, or 93% of White Mountains’s June 30, 2026 book value per share. Including these share repurchases as well as recent deployments and operating company distributions, undeployed capital is roughly $0.8 billion.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Ark/WM Outrigger segment’s combined ratio was 84% and 88% in the second quarter and first six months of 2026 compared to 84% and 90% in the second quarter and first six months of 2025. The Ark/WM Outrigger segment reported gross written premiums of $778 million and $1,868 million, net written premiums of $537 million and $1,128 million and net earned premiums of $376 million and $750 million in the second quarter and first six months of 2026 compared to gross written premiums of $815 million and $1,923 million, net written premiums of $579 million and $1,306 million and net earned premiums of $364 million and $722 million in the second quarter and first six months of 2025. The Ark/WM Outrigger segment reported pre-tax income of $80 million and $89 million in the second quarter and first six months of 2026 compared to $98 million and $144 million in the second quarter and first six months of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Ark’s combined ratio was 84% and 88% in the second quarter and first six months of 2026 compared to 85% and 90% in the second quarter and first six months of 2025. Ark’s combined ratio in the second quarter and first six months of 2026 included three points and five points of catastrophe losses, driven primarily by losses related to the war in Iran. This compares to minimal catastrophe losses in the second quarter of 2025 and thirteen points of catastrophe losses in the first six months of 2025, driven by losses related to the California wildfires. Ark’s combined ratio included eight points and six points of net favorable prior year development in the second quarter and first six months of 2026, driven by the property and specialty lines of business. This compares to five points and nine points of net favorable prior year development in the second quarter and first six months of 2025, driven by the property, marine &amp; energy and specialty lines of business, partially offset by six points of unfavorable development in the second quarter related to aviation losses from the conflict in Ukraine. Ark has ongoing exposure to the war in Iran, primarily through the specialty and marine &amp; energy lines of business. In the second quarter and first six months of 2026, Ark recorded estimated losses of $17 million and $42 million (net of reinsurance and reinstatement premiums) related to the war.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Ark reported gross written premiums of $778 million and $1,868 million, net written premiums of $538 million and $1,128 million and net earned premiums of $375 million and $747 million in the second quarter and first six months of 2026 compared to gross written premiums of $815 million and $1,923 million, net written premiums of $536 million and $1,226 million and net earned premiums of $357 million and $703 million in the second quarter and first six months of 2025. The decline in gross written premiums in the second quarter of 2026 was driven primarily by softening market conditions in property lines, which was partially offset by growth in specialty lines. The decline in gross written premiums in the first six months of 2026 was driven primarily by a change in the timing of recognition of certain delegated authority business, which had no impact on the timing of recognition of Ark’s earned premiums.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Ark reported pre-tax income of $78 million and $85 million in the second quarter and first six months of 2026 compared to $91 million and $144 million in the second quarter and first six months of 2025. Ark’s results included net realized and unrealized investment gains (losses) of $31 million and $(2) million in the second quarter and first six months of 2026 compared to $51 million and $81 million in the second quarter and first six months of 2025.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Ark reported book value of $1,615 million as of June 30, 2026, an increase of 4% in the second quarter of 2026 and 5% in the first six months of 2026, including dividends. Ark reported tangible book value of $1,736 million as of June 30, 2026, an increase of 6% in the second quarter of 2026 and 7% in the first six months of 2026, including dividends. Ark’s book value includes goodwill and other intangible assets, net of tax, and White Mountains’s contingent consideration liability, which are excluded from Ark’s tangible book value.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WM Outrigger Re’s combined ratio was 25% and 40% in the second quarter and first six months of 2026 compared to 44% and 120% in the second quarter and first six months of 2025. Catastrophe losses in the first six months of 2025 included $19 million of losses related to the California wildfires (net of reinstatement premiums). Ark renewed Outrigger Re Ltd. for the 2026 underwriting year with $70 million of unaffiliated third-party capital. Through June 30, 2026, WM Outrigger Re has generated pre-tax income of $59 million from the 2025 underwriting year, $29 million from the 2024 underwriting year and $76 million from the 2023 underwriting year. In the first six months of 2026, White Mountains received $145 million of distributions from WM Outrigger Re, primarily a return of capital related to its non-renewal for the 2026 underwriting year. On July 23, 2026, White Mountains received an additional distribution of $77 million.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Kudu reported total revenues of $69 million and $132 million, pre-tax income of $57 million and $109 million and adjusted EBITDA of $16 million and $33 million in the second quarter and first six months of 2026 compared to total revenues of $20 million and $84 million, pre-tax income of $11 million and $64 million and adjusted EBITDA of $16 million and $32 million in the second quarter and first six months of 2025. Total revenues, pre-tax income and adjusted EBITDA included $19 million and $40 million of net investment income in the second quarter and first six months of 2026 compared to $19 million and $39 million in the second quarter and first six months of 2025. Total revenues and pre-tax income also included $50 million and $92 million of net realized and unrealized investment gains in the second quarter and first six months of 2026 compared to $1 million and $45 million in the second quarter and first six months of 2025. The increases in net realized and unrealized investment gains in the second quarter and first six months of 2026 were driven by increases in the fair value of Kudu’s participation contracts, primarily due to lower discount rates across the portfolio and step-ups in valuation related to certain sale transactions. The increase for the first six months of 2026 was also due to growth in assets under management at several managers.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Kudu deployed a total of $36 million, including transaction costs, into two new asset management firms in 2026. As of June 30, 2026, Kudu had deployed a total of $1.2 billion, including transaction costs, into 32 asset and wealth management firms globally, including three that have been exited. As of June 30, 2026, the asset and wealth management firms have combined assets under management of approximately $164 billion, spanning a range of asset classes.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HG Global reported gross written premiums of $11 million and $19 million and earned premiums of $8 million and $15 million in the second quarter and first six months of 2026 compared to gross written premiums of $19 million and $26 million and earned premiums of $7 million and $15 million in the second quarter and first six months of 2025. HG Global’s total par value of policies assumed was $818 million and $1,335 million in the second quarter and first six months of 2026 compared to $931 million and $1,358 million in the second quarter and first six months of 2025. HG Global’s total gross pricing was 135 and 145 basis points in the second quarter and first six months of 2026 compared to 206 and 191 basis points in the second quarter and first six months of 2025. HG Global reported pre-tax income of $10 million and $21 million in the second quarter and first six months of 2026 compared to $17 million and $42 million in the second quarter and first six months of 2025. HG Global’s results included net realized and unrealized investment gains (losses) of $(2) million and $(7) million in the second quarter and first six months of 2026 compared to $3 million and $13 million in the second quarter and first six months of 2025, driven by movements in interest rates.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fair value of the BAM Surplus Notes was $353 million as of June 30, 2026 compared to $346 million as of March 31, 2026. The increase was driven by $7 million of accrued interest. On July 28, 2026, HG Global received a cash payment of principal and interest on the BAM Surplus Notes of $8 million.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May 14, 2026, HG Global refinanced its senior debt facility, upsizing the facility to $200 million and lowering the interest rate to a fixed rate of 7.4%. In turn, on May 26, 2026, HG Global paid a $93 million cash dividend to shareholders, of which $90 million was paid to White Mountains. In connection with the extinguishment of its prior senior debt facility, HG Global recognized a $4 million loss within general and administrative expenses.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 the second quarter and first six months of 2026, HG Global grew its book value attributable to White Mountains by 1% and 3%, including the $90 million dividend paid to White Mountains.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Distinguished reported managed premiums of $189 million and $321 million, commission and fee revenues of $57 million and $96 million, pre-tax loss of $11 million and $28 million and ScaleCo adjusted EBITDA of $12 million and $17 million for the second quarter and first six months of 2026. Distinguished’s managed premiums increased 13% in the second quarter of 2026 compared to the second quarter of 2025 and 10% in the first six months of 2026 compared to the first six months of 2025. These figures include periods prior to White Mountains’s ownership of Distinguished, which White Mountains believes is useful in understanding Distinguished’s performance.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WTM Partners reported total revenues of $93 million and $137 million, pre-tax income of $4 million and $2 million and adjusted EBITDA of $9 million and $11 million in the second quarter and first six months of 2026 compared to total revenues of $43 million and $43 million, pre-tax income (loss) of $1 million and $(2) million and adjusted EBITDA of $3 million and $2 million in the second quarter and first six months of 2025.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White Mountains owned 17.9 million shares of MediaAlpha, representing a 29% basic ownership interest based on the total class A and class B common shares outstanding. As of June 30, 2026, MediaAlpha’s share price was $12.57 per share, which increased from $9.30 per share as of March 31, 2026. The carrying value of White Mountains’s investment in MediaAlpha was $225 million as of June 30, 2026 compared to $166 million as of March 31, 2026. At White Mountains’s June 30, 2026 level of ownership, each $1.00 per share increase or decrease in the share price of MediaAlpha will result in an approximate $7.50 per share increase or decrease in White Mountains’s book value per share.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July 1, 2026, White Mountains received a distribution of $26 million from the Bamboo SPV.</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White Mountains’s total consolidated portfolio return on invested assets was 3.5% in the second quarter of 2026, which included $58 million of unrealized investment gains from White Mountains’s investment in MediaAlpha. Excluding MediaAlpha, the total consolidated portfolio return on invested assets was 2.8% in the second quarter of 2026. Excluding MediaAlpha, investment results were driven primarily by net realized and unrealized investment gains from other long-term investments, net unrealized gains from common equity securities and net investment income from the other long-term investments and fixed income portfolios. White Mountains’s total consolidated portfolio return on invested assets was 2.7% in the second quarter of 2025, which included $31 million of unrealized investment gains from White Mountains’s investment in MediaAlpha. Excluding MediaAlpha, the total consolidated portfolio return on invested assets was 2.3% in the second quarter of 2025. Excluding MediaAlpha, investment results were driven primarily by net investment income and net unrealized investment gains from the other long-term investments and fixed income portfolios.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White Mountains’s total consolidated portfolio return on invested assets was 3.7% in the first six months of 2026, which included $7 million of unrealized investment losses from White Mountains’s investment in MediaAlpha. Excluding MediaAlpha, the total consolidated portfolio return on invested assets was 3.8% in the first six months of 2026. Excluding MediaAlpha, investment results were driven primarily by net unrealized investment gains from other long-term investments and net investment income from the other long-term investments and fixed income portfolios. White Mountains’s total consolidated portfolio return on invested assets was 4.5% in the first six months of 2025, which included $6 million of unrealized investment losses from White Mountains’s investment in MediaAlpha. Excluding MediaAlpha, the total consolidated portfolio return on invested assets was 4.7% in the first six months of 2025. Excluding MediaAlpha, investment results were driven primarily by net investment income and net unrealized investment gains from the other long-term investments and fixed income portfolios.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bookmarkStart w:id="1" w:name="i7d15cf50e992492ea39ed3eada123523_9872"/>
      <w:bookmarkStart w:id="2" w:name="i7d15cf50e992492ea39ed3eada123523_9871"/>
      <w:bookmarkEnd w:id="1"/>
      <w:bookmarkEnd w:id="2"/>
      <w:r>
        <w:rPr>
          <w:rFonts w:ascii="Times New Roman;serif" w:hAnsi="Times New Roman;serif"/>
          <w:b/>
          <w:color w:val="000000"/>
          <w:sz w:val="20"/>
        </w:rPr>
        <w:t>Book Value Per Share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White Mountains’s book value per share as of June 30, 2026, March 31, 2026, December 31, 2025 and June 30, 2025:</w:t>
      </w:r>
    </w:p>
    <w:tbl>
      <w:tblPr>
        <w:tblW w:w="10205" w:type="dxa"/>
        <w:jc w:val="left"/>
        <w:tblInd w:w="0" w:type="dxa"/>
        <w:tblLayout w:type="fixed"/>
        <w:tblCellMar>
          <w:top w:w="28" w:type="dxa"/>
          <w:left w:w="28" w:type="dxa"/>
          <w:bottom w:w="28" w:type="dxa"/>
          <w:right w:w="28" w:type="dxa"/>
        </w:tblCellMar>
      </w:tblPr>
      <w:tblGrid>
        <w:gridCol w:w="1380"/>
        <w:gridCol w:w="1189"/>
        <w:gridCol w:w="1192"/>
        <w:gridCol w:w="109"/>
        <w:gridCol w:w="109"/>
        <w:gridCol w:w="109"/>
        <w:gridCol w:w="211"/>
        <w:gridCol w:w="886"/>
        <w:gridCol w:w="109"/>
        <w:gridCol w:w="109"/>
        <w:gridCol w:w="109"/>
        <w:gridCol w:w="109"/>
        <w:gridCol w:w="220"/>
        <w:gridCol w:w="913"/>
        <w:gridCol w:w="113"/>
        <w:gridCol w:w="109"/>
        <w:gridCol w:w="109"/>
        <w:gridCol w:w="109"/>
        <w:gridCol w:w="255"/>
        <w:gridCol w:w="1057"/>
        <w:gridCol w:w="132"/>
        <w:gridCol w:w="109"/>
        <w:gridCol w:w="109"/>
        <w:gridCol w:w="109"/>
        <w:gridCol w:w="211"/>
        <w:gridCol w:w="871"/>
        <w:gridCol w:w="158"/>
      </w:tblGrid>
      <w:tr>
        <w:trPr/>
        <w:tc>
          <w:tcPr>
            <w:tcW w:w="1380"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37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Book value per share numerator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White Mountains’s common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5,388.3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5,373.5 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5,425.4 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4,644.5 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4088"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Book value per share denominator (in thousands):</w:t>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Common shares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2,386.7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2,476.7 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2,479.7 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2,575.1 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Book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2,257.60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2,169.66 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2,187.97 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1,803.57 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1"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Year-to-date dividends paid per share</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0"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13"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5"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32"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58"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18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Goodwill and Other Intangible Assets</w:t>
      </w:r>
    </w:p>
    <w:p>
      <w:pPr>
        <w:pStyle w:val="TextBody"/>
        <w:bidi w:val="0"/>
        <w:spacing w:before="0" w:after="0"/>
        <w:jc w:val="left"/>
        <w:rPr/>
      </w:pPr>
      <w:r>
        <w:r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goodwill and other intangible assets that are included in White Mountains’s book value as of June 30, 2026, March 31, 2026, December 31, 2025 and June 30, 2025:</w:t>
      </w:r>
    </w:p>
    <w:tbl>
      <w:tblPr>
        <w:tblW w:w="10205" w:type="dxa"/>
        <w:jc w:val="left"/>
        <w:tblInd w:w="0" w:type="dxa"/>
        <w:tblLayout w:type="fixed"/>
        <w:tblCellMar>
          <w:top w:w="28" w:type="dxa"/>
          <w:left w:w="28" w:type="dxa"/>
          <w:bottom w:w="28" w:type="dxa"/>
          <w:right w:w="28" w:type="dxa"/>
        </w:tblCellMar>
      </w:tblPr>
      <w:tblGrid>
        <w:gridCol w:w="1400"/>
        <w:gridCol w:w="1206"/>
        <w:gridCol w:w="1226"/>
        <w:gridCol w:w="109"/>
        <w:gridCol w:w="109"/>
        <w:gridCol w:w="109"/>
        <w:gridCol w:w="277"/>
        <w:gridCol w:w="829"/>
        <w:gridCol w:w="142"/>
        <w:gridCol w:w="109"/>
        <w:gridCol w:w="109"/>
        <w:gridCol w:w="109"/>
        <w:gridCol w:w="275"/>
        <w:gridCol w:w="804"/>
        <w:gridCol w:w="141"/>
        <w:gridCol w:w="109"/>
        <w:gridCol w:w="109"/>
        <w:gridCol w:w="109"/>
        <w:gridCol w:w="323"/>
        <w:gridCol w:w="943"/>
        <w:gridCol w:w="166"/>
        <w:gridCol w:w="109"/>
        <w:gridCol w:w="109"/>
        <w:gridCol w:w="109"/>
        <w:gridCol w:w="224"/>
        <w:gridCol w:w="653"/>
        <w:gridCol w:w="288"/>
      </w:tblGrid>
      <w:tr>
        <w:trPr/>
        <w:tc>
          <w:tcPr>
            <w:tcW w:w="1400"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3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June 30, 2026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3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Goodwill: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2" w:type="dxa"/>
            <w:gridSpan w:val="3"/>
            <w:tcBorders/>
            <w:tcMar>
              <w:top w:w="0" w:type="dxa"/>
              <w:left w:w="0" w:type="dxa"/>
              <w:bottom w:w="0" w:type="dxa"/>
              <w:right w:w="0" w:type="dxa"/>
            </w:tcMar>
            <w:vAlign w:val="center"/>
          </w:tcPr>
          <w:p>
            <w:pPr>
              <w:pStyle w:val="TableContents"/>
              <w:bidi w:val="0"/>
              <w:spacing w:lineRule="auto" w:line="268" w:before="0" w:after="0"/>
              <w:ind w:left="0" w:right="0" w:firstLine="135"/>
              <w:jc w:val="left"/>
              <w:rPr>
                <w:rFonts w:ascii="Times New Roman;serif" w:hAnsi="Times New Roman;serif"/>
                <w:b w:val="false"/>
                <w:color w:val="000000"/>
                <w:sz w:val="20"/>
              </w:rPr>
            </w:pPr>
            <w:r>
              <w:rPr>
                <w:rFonts w:ascii="Times New Roman;serif" w:hAnsi="Times New Roman;serif"/>
                <w:b w:val="false"/>
                <w:color w:val="000000"/>
                <w:sz w:val="20"/>
              </w:rPr>
              <w:t>Ark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116.8</w:t>
            </w: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116.8 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2" w:type="dxa"/>
            <w:gridSpan w:val="3"/>
            <w:tcBorders/>
            <w:tcMar>
              <w:top w:w="0" w:type="dxa"/>
              <w:left w:w="0" w:type="dxa"/>
              <w:bottom w:w="0" w:type="dxa"/>
              <w:right w:w="0" w:type="dxa"/>
            </w:tcMar>
            <w:vAlign w:val="center"/>
          </w:tcPr>
          <w:p>
            <w:pPr>
              <w:pStyle w:val="TableContents"/>
              <w:bidi w:val="0"/>
              <w:spacing w:lineRule="auto" w:line="268" w:before="0" w:after="0"/>
              <w:ind w:left="0" w:right="0" w:firstLine="135"/>
              <w:jc w:val="left"/>
              <w:rPr>
                <w:rFonts w:ascii="Times New Roman;serif" w:hAnsi="Times New Roman;serif"/>
                <w:b w:val="false"/>
                <w:color w:val="000000"/>
                <w:sz w:val="20"/>
              </w:rPr>
            </w:pPr>
            <w:r>
              <w:rPr>
                <w:rFonts w:ascii="Times New Roman;serif" w:hAnsi="Times New Roman;serif"/>
                <w:b w:val="false"/>
                <w:color w:val="000000"/>
                <w:sz w:val="20"/>
              </w:rPr>
              <w:t>Kudu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w:t>
            </w: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288" w:type="dxa"/>
            <w:tcBorders/>
            <w:tcMar>
              <w:top w:w="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r>
      <w:tr>
        <w:trPr/>
        <w:tc>
          <w:tcPr>
            <w:tcW w:w="383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Distinguished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397.9</w:t>
            </w: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397.9 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396.7 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tcMar>
              <w:top w:w="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r>
      <w:tr>
        <w:trPr/>
        <w:tc>
          <w:tcPr>
            <w:tcW w:w="383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WTM Partners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238.3</w:t>
            </w: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2" w:type="dxa"/>
            <w:gridSpan w:val="3"/>
            <w:tcBorders/>
            <w:tcMar>
              <w:top w:w="0" w:type="dxa"/>
              <w:left w:w="0" w:type="dxa"/>
              <w:bottom w:w="0" w:type="dxa"/>
              <w:right w:w="0" w:type="dxa"/>
            </w:tcMar>
            <w:vAlign w:val="center"/>
          </w:tcPr>
          <w:p>
            <w:pPr>
              <w:pStyle w:val="TableContents"/>
              <w:bidi w:val="0"/>
              <w:spacing w:lineRule="auto" w:line="268" w:before="0" w:after="0"/>
              <w:ind w:left="0" w:right="0" w:firstLine="135"/>
              <w:jc w:val="left"/>
              <w:rPr>
                <w:rFonts w:ascii="Times New Roman;serif" w:hAnsi="Times New Roman;serif"/>
                <w:b w:val="false"/>
                <w:color w:val="000000"/>
                <w:sz w:val="20"/>
              </w:rPr>
            </w:pPr>
            <w:r>
              <w:rPr>
                <w:rFonts w:ascii="Times New Roman;serif" w:hAnsi="Times New Roman;serif"/>
                <w:b w:val="false"/>
                <w:color w:val="000000"/>
                <w:sz w:val="20"/>
              </w:rPr>
              <w:t>Bamboo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270.4 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2" w:type="dxa"/>
            <w:gridSpan w:val="3"/>
            <w:tcBorders/>
            <w:tcMar>
              <w:top w:w="0" w:type="dxa"/>
              <w:left w:w="0" w:type="dxa"/>
              <w:bottom w:w="0" w:type="dxa"/>
              <w:right w:w="0" w:type="dxa"/>
            </w:tcMar>
            <w:vAlign w:val="center"/>
          </w:tcPr>
          <w:p>
            <w:pPr>
              <w:pStyle w:val="TableContents"/>
              <w:bidi w:val="0"/>
              <w:spacing w:lineRule="auto" w:line="268" w:before="0" w:after="0"/>
              <w:ind w:left="0" w:right="0" w:firstLine="135"/>
              <w:jc w:val="left"/>
              <w:rPr>
                <w:rFonts w:ascii="Times New Roman;serif" w:hAnsi="Times New Roman;serif"/>
                <w:b w:val="false"/>
                <w:color w:val="000000"/>
                <w:sz w:val="20"/>
              </w:rPr>
            </w:pPr>
            <w:r>
              <w:rPr>
                <w:rFonts w:ascii="Times New Roman;serif" w:hAnsi="Times New Roman;serif"/>
                <w:b w:val="false"/>
                <w:color w:val="000000"/>
                <w:sz w:val="20"/>
              </w:rPr>
              <w:t>Other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35.3</w:t>
            </w: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2" w:type="dxa"/>
            <w:gridSpan w:val="3"/>
            <w:tcBorders/>
            <w:tcMar>
              <w:top w:w="0" w:type="dxa"/>
              <w:left w:w="0" w:type="dxa"/>
              <w:bottom w:w="0" w:type="dxa"/>
              <w:right w:w="0" w:type="dxa"/>
            </w:tcMar>
            <w:vAlign w:val="center"/>
          </w:tcPr>
          <w:p>
            <w:pPr>
              <w:pStyle w:val="TableContents"/>
              <w:bidi w:val="0"/>
              <w:spacing w:lineRule="auto" w:line="268" w:before="0" w:after="0"/>
              <w:ind w:left="0" w:right="0" w:firstLine="225"/>
              <w:jc w:val="left"/>
              <w:rPr>
                <w:rFonts w:ascii="Times New Roman;serif" w:hAnsi="Times New Roman;serif"/>
                <w:b w:val="false"/>
                <w:color w:val="000000"/>
                <w:sz w:val="20"/>
              </w:rPr>
            </w:pPr>
            <w:r>
              <w:rPr>
                <w:rFonts w:ascii="Times New Roman;serif" w:hAnsi="Times New Roman;serif"/>
                <w:b w:val="false"/>
                <w:color w:val="000000"/>
                <w:sz w:val="20"/>
              </w:rPr>
              <w:t>Total goodwill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795.9</w:t>
            </w:r>
            <w:r>
              <w:rPr>
                <w:color w:val="000000"/>
              </w:rPr>
              <w:t> </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615.3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614.1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534.6</w:t>
            </w:r>
          </w:p>
        </w:tc>
      </w:tr>
      <w:tr>
        <w:trPr/>
        <w:tc>
          <w:tcPr>
            <w:tcW w:w="383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Other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2" w:type="dxa"/>
            <w:gridSpan w:val="3"/>
            <w:tcBorders/>
            <w:tcMar>
              <w:top w:w="0" w:type="dxa"/>
              <w:left w:w="0" w:type="dxa"/>
              <w:bottom w:w="0" w:type="dxa"/>
              <w:right w:w="0" w:type="dxa"/>
            </w:tcMar>
            <w:vAlign w:val="center"/>
          </w:tcPr>
          <w:p>
            <w:pPr>
              <w:pStyle w:val="TableContents"/>
              <w:bidi w:val="0"/>
              <w:spacing w:lineRule="auto" w:line="268" w:before="0" w:after="0"/>
              <w:ind w:left="0" w:right="0" w:firstLine="135"/>
              <w:jc w:val="left"/>
              <w:rPr>
                <w:rFonts w:ascii="Times New Roman;serif" w:hAnsi="Times New Roman;serif"/>
                <w:b w:val="false"/>
                <w:color w:val="000000"/>
                <w:sz w:val="20"/>
              </w:rPr>
            </w:pPr>
            <w:r>
              <w:rPr>
                <w:rFonts w:ascii="Times New Roman;serif" w:hAnsi="Times New Roman;serif"/>
                <w:b w:val="false"/>
                <w:color w:val="000000"/>
                <w:sz w:val="20"/>
              </w:rPr>
              <w:t>Ark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175.7</w:t>
            </w: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175.7 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2" w:type="dxa"/>
            <w:gridSpan w:val="3"/>
            <w:tcBorders/>
            <w:tcMar>
              <w:top w:w="0" w:type="dxa"/>
              <w:left w:w="0" w:type="dxa"/>
              <w:bottom w:w="0" w:type="dxa"/>
              <w:right w:w="0" w:type="dxa"/>
            </w:tcMar>
            <w:vAlign w:val="center"/>
          </w:tcPr>
          <w:p>
            <w:pPr>
              <w:pStyle w:val="TableContents"/>
              <w:bidi w:val="0"/>
              <w:spacing w:lineRule="auto" w:line="268" w:before="0" w:after="0"/>
              <w:ind w:left="0" w:right="0" w:firstLine="135"/>
              <w:jc w:val="left"/>
              <w:rPr>
                <w:rFonts w:ascii="Times New Roman;serif" w:hAnsi="Times New Roman;serif"/>
                <w:b w:val="false"/>
                <w:color w:val="000000"/>
                <w:sz w:val="20"/>
              </w:rPr>
            </w:pPr>
            <w:r>
              <w:rPr>
                <w:rFonts w:ascii="Times New Roman;serif" w:hAnsi="Times New Roman;serif"/>
                <w:b w:val="false"/>
                <w:color w:val="000000"/>
                <w:sz w:val="20"/>
              </w:rPr>
              <w:t>Kudu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88" w:type="dxa"/>
            <w:tcBorders/>
            <w:tcMar>
              <w:top w:w="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r>
      <w:tr>
        <w:trPr/>
        <w:tc>
          <w:tcPr>
            <w:tcW w:w="383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Distinguished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167.2</w:t>
            </w: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173.6 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181.0 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tcMar>
              <w:top w:w="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r>
      <w:tr>
        <w:trPr/>
        <w:tc>
          <w:tcPr>
            <w:tcW w:w="383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WTM Partners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31.3</w:t>
            </w: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2" w:type="dxa"/>
            <w:gridSpan w:val="3"/>
            <w:tcBorders/>
            <w:tcMar>
              <w:top w:w="0" w:type="dxa"/>
              <w:left w:w="0" w:type="dxa"/>
              <w:bottom w:w="0" w:type="dxa"/>
              <w:right w:w="0" w:type="dxa"/>
            </w:tcMar>
            <w:vAlign w:val="center"/>
          </w:tcPr>
          <w:p>
            <w:pPr>
              <w:pStyle w:val="TableContents"/>
              <w:bidi w:val="0"/>
              <w:spacing w:lineRule="auto" w:line="268" w:before="0" w:after="0"/>
              <w:ind w:left="0" w:right="0" w:firstLine="135"/>
              <w:jc w:val="left"/>
              <w:rPr>
                <w:rFonts w:ascii="Times New Roman;serif" w:hAnsi="Times New Roman;serif"/>
                <w:b w:val="false"/>
                <w:color w:val="000000"/>
                <w:sz w:val="20"/>
              </w:rPr>
            </w:pPr>
            <w:r>
              <w:rPr>
                <w:rFonts w:ascii="Times New Roman;serif" w:hAnsi="Times New Roman;serif"/>
                <w:b w:val="false"/>
                <w:color w:val="000000"/>
                <w:sz w:val="20"/>
              </w:rPr>
              <w:t>Bamboo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2" w:type="dxa"/>
            <w:gridSpan w:val="3"/>
            <w:tcBorders/>
            <w:tcMar>
              <w:top w:w="0" w:type="dxa"/>
              <w:left w:w="0" w:type="dxa"/>
              <w:bottom w:w="0" w:type="dxa"/>
              <w:right w:w="0" w:type="dxa"/>
            </w:tcMar>
            <w:vAlign w:val="center"/>
          </w:tcPr>
          <w:p>
            <w:pPr>
              <w:pStyle w:val="TableContents"/>
              <w:bidi w:val="0"/>
              <w:spacing w:lineRule="auto" w:line="268" w:before="0" w:after="0"/>
              <w:ind w:left="0" w:right="0" w:firstLine="135"/>
              <w:jc w:val="left"/>
              <w:rPr>
                <w:rFonts w:ascii="Times New Roman;serif" w:hAnsi="Times New Roman;serif"/>
                <w:b w:val="false"/>
                <w:color w:val="000000"/>
                <w:sz w:val="20"/>
              </w:rPr>
            </w:pPr>
            <w:r>
              <w:rPr>
                <w:rFonts w:ascii="Times New Roman;serif" w:hAnsi="Times New Roman;serif"/>
                <w:b w:val="false"/>
                <w:color w:val="000000"/>
                <w:sz w:val="20"/>
              </w:rPr>
              <w:t>Other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w:t>
            </w: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2" w:type="dxa"/>
            <w:gridSpan w:val="3"/>
            <w:tcBorders/>
            <w:tcMar>
              <w:top w:w="0" w:type="dxa"/>
              <w:left w:w="0" w:type="dxa"/>
              <w:bottom w:w="0" w:type="dxa"/>
              <w:right w:w="0" w:type="dxa"/>
            </w:tcMar>
            <w:vAlign w:val="center"/>
          </w:tcPr>
          <w:p>
            <w:pPr>
              <w:pStyle w:val="TableContents"/>
              <w:bidi w:val="0"/>
              <w:spacing w:lineRule="auto" w:line="268" w:before="0" w:after="0"/>
              <w:ind w:left="0" w:right="0" w:firstLine="225"/>
              <w:jc w:val="left"/>
              <w:rPr>
                <w:rFonts w:ascii="Times New Roman;serif" w:hAnsi="Times New Roman;serif"/>
                <w:b w:val="false"/>
                <w:color w:val="000000"/>
                <w:sz w:val="20"/>
              </w:rPr>
            </w:pPr>
            <w:r>
              <w:rPr>
                <w:rFonts w:ascii="Times New Roman;serif" w:hAnsi="Times New Roman;serif"/>
                <w:b w:val="false"/>
                <w:color w:val="000000"/>
                <w:sz w:val="20"/>
              </w:rPr>
              <w:t>Total other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387.8</w:t>
            </w:r>
            <w:r>
              <w:rPr>
                <w:color w:val="000000"/>
              </w:rPr>
              <w:t> </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396.4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406.1 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270.8 </w:t>
            </w:r>
          </w:p>
        </w:tc>
        <w:tc>
          <w:tcPr>
            <w:tcW w:w="2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2"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 xml:space="preserve">Total goodwill and other intangible assets </w:t>
            </w:r>
            <w:r>
              <w:rPr>
                <w:rFonts w:ascii="Times New Roman;serif" w:hAnsi="Times New Roman;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1,183.7</w:t>
            </w:r>
            <w:r>
              <w:rPr>
                <w:color w:val="000000"/>
              </w:rPr>
              <w:t> </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1,011.7 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1,020.2 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805.4 </w:t>
            </w:r>
          </w:p>
        </w:tc>
        <w:tc>
          <w:tcPr>
            <w:tcW w:w="2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Goodwill and other intangible assets attributed to</w:t>
            </w:r>
          </w:p>
          <w:p>
            <w:pPr>
              <w:pStyle w:val="TableContents"/>
              <w:bidi w:val="0"/>
              <w:spacing w:lineRule="auto" w:line="268" w:before="0" w:after="0"/>
              <w:jc w:val="left"/>
              <w:rPr/>
            </w:pPr>
            <w:r>
              <w:rPr>
                <w:color w:val="000000"/>
              </w:rPr>
              <w:t>   </w:t>
            </w:r>
            <w:r>
              <w:rPr>
                <w:rFonts w:ascii="Times New Roman;serif" w:hAnsi="Times New Roman;serif"/>
                <w:b w:val="false"/>
                <w:color w:val="000000"/>
                <w:sz w:val="20"/>
              </w:rPr>
              <w:t xml:space="preserve">noncontrolling interests </w:t>
            </w:r>
            <w:r>
              <w:rPr>
                <w:rFonts w:ascii="Times New Roman;serif" w:hAnsi="Times New Roman;serif"/>
                <w:b w:val="false"/>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color w:val="000000"/>
                <w:sz w:val="20"/>
              </w:rPr>
            </w:pPr>
            <w:r>
              <w:rPr>
                <w:rFonts w:ascii="Times New Roman;serif" w:hAnsi="Times New Roman;serif"/>
                <w:b/>
                <w:color w:val="000000"/>
                <w:sz w:val="20"/>
              </w:rPr>
              <w:t>(428.3)</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(374.5)</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(378.6)</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(219.9)</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9" w:type="dxa"/>
            <w:gridSpan w:val="6"/>
            <w:tcBorders>
              <w:bottom w:val="double" w:sz="8" w:space="0" w:color="000000"/>
            </w:tcBorders>
            <w:tcMar>
              <w:top w:w="0" w:type="dxa"/>
              <w:left w:w="0" w:type="dxa"/>
              <w:bottom w:w="30" w:type="dxa"/>
              <w:right w:w="0" w:type="dxa"/>
            </w:tcMar>
            <w:vAlign w:val="center"/>
          </w:tcPr>
          <w:p>
            <w:pPr>
              <w:pStyle w:val="TableContents"/>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Goodwill and other intangible assets included in </w:t>
            </w:r>
          </w:p>
          <w:p>
            <w:pPr>
              <w:pStyle w:val="TableContents"/>
              <w:bidi w:val="0"/>
              <w:spacing w:lineRule="auto" w:line="268" w:before="0" w:after="0"/>
              <w:jc w:val="left"/>
              <w:rPr>
                <w:color w:val="000000"/>
              </w:rPr>
            </w:pPr>
            <w:r>
              <w:rPr>
                <w:color w:val="000000"/>
              </w:rPr>
              <w:t>   </w:t>
            </w:r>
            <w:r>
              <w:rPr>
                <w:rFonts w:ascii="Times New Roman;serif" w:hAnsi="Times New Roman;serif"/>
                <w:b/>
                <w:color w:val="000000"/>
                <w:sz w:val="20"/>
              </w:rPr>
              <w:t>White Mountains’s common shareholders’ equity</w:t>
            </w:r>
          </w:p>
        </w:tc>
        <w:tc>
          <w:tcPr>
            <w:tcW w:w="2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755.4</w:t>
            </w:r>
            <w:r>
              <w:rPr>
                <w:color w:val="000000"/>
              </w:rPr>
              <w:t> </w:t>
            </w:r>
          </w:p>
        </w:tc>
        <w:tc>
          <w:tcPr>
            <w:tcW w:w="1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637.2 </w:t>
            </w:r>
          </w:p>
        </w:tc>
        <w:tc>
          <w:tcPr>
            <w:tcW w:w="1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641.6 </w:t>
            </w:r>
          </w:p>
        </w:tc>
        <w:tc>
          <w:tcPr>
            <w:tcW w:w="1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585.5 </w:t>
            </w:r>
          </w:p>
        </w:tc>
        <w:tc>
          <w:tcPr>
            <w:tcW w:w="28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18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 xml:space="preserve">The relative fair values of goodwill and other intangible assets recognized in connection with the acquisitions of Basesix and Hawkeye Electric had not yet been finalized. See </w:t>
      </w:r>
      <w:r>
        <w:rPr>
          <w:rFonts w:ascii="Times New Roman;serif" w:hAnsi="Times New Roman;serif"/>
          <w:b/>
          <w:color w:val="000000"/>
          <w:sz w:val="16"/>
        </w:rPr>
        <w:t>Note 2 — “Significant Transactions.”</w:t>
      </w:r>
      <w:r>
        <w:rPr>
          <w:color w:val="000000"/>
        </w:rPr>
        <w:t xml:space="preserve"> </w:t>
      </w:r>
    </w:p>
    <w:p>
      <w:pPr>
        <w:pStyle w:val="TextBody"/>
        <w:bidi w:val="0"/>
        <w:spacing w:lineRule="auto" w:line="288" w:before="0" w:after="0"/>
        <w:ind w:left="0" w:right="0" w:hanging="180"/>
        <w:jc w:val="left"/>
        <w:rPr/>
      </w:pPr>
      <w:r>
        <w:rPr>
          <w:rFonts w:ascii="Times New Roman;serif" w:hAnsi="Times New Roman;serif"/>
          <w:b w:val="false"/>
          <w:color w:val="000000"/>
          <w:sz w:val="10"/>
        </w:rPr>
        <w:t xml:space="preserve">(2) </w:t>
      </w:r>
      <w:r>
        <w:rPr>
          <w:rFonts w:ascii="Times New Roman;serif" w:hAnsi="Times New Roman;serif"/>
          <w:b w:val="false"/>
          <w:color w:val="000000"/>
          <w:sz w:val="16"/>
        </w:rPr>
        <w:t xml:space="preserve">See </w:t>
      </w:r>
      <w:r>
        <w:rPr>
          <w:rFonts w:ascii="Times New Roman;serif" w:hAnsi="Times New Roman;serif"/>
          <w:b/>
          <w:color w:val="000000"/>
          <w:sz w:val="16"/>
        </w:rPr>
        <w:t>Note 4 — “Goodwill and Other Intangible Assets”</w:t>
      </w:r>
      <w:r>
        <w:rPr>
          <w:color w:val="000000"/>
        </w:rPr>
        <w:t xml:space="preserve"> </w:t>
      </w:r>
      <w:r>
        <w:rPr>
          <w:rFonts w:ascii="Times New Roman;serif" w:hAnsi="Times New Roman;serif"/>
          <w:b w:val="false"/>
          <w:color w:val="000000"/>
          <w:sz w:val="16"/>
        </w:rPr>
        <w:t>for details of other intangible assets.</w:t>
      </w:r>
    </w:p>
    <w:p>
      <w:pPr>
        <w:pStyle w:val="TextBody"/>
        <w:bidi w:val="0"/>
        <w:spacing w:lineRule="auto" w:line="288" w:before="0" w:after="0"/>
        <w:ind w:left="0" w:right="0" w:hanging="180"/>
        <w:jc w:val="left"/>
        <w:rPr/>
      </w:pPr>
      <w:r>
        <w:rPr>
          <w:rFonts w:ascii="Times New Roman;serif" w:hAnsi="Times New Roman;serif"/>
          <w:b w:val="false"/>
          <w:color w:val="000000"/>
          <w:sz w:val="10"/>
        </w:rPr>
        <w:t xml:space="preserve">(3) </w:t>
      </w:r>
      <w:r>
        <w:rPr>
          <w:rFonts w:ascii="Times New Roman;serif" w:hAnsi="Times New Roman;serif"/>
          <w:b w:val="false"/>
          <w:color w:val="000000"/>
          <w:sz w:val="16"/>
        </w:rPr>
        <w:t>Amounts reflect the basic ownership percentage of the noncontrolling shareholders.</w:t>
      </w:r>
    </w:p>
    <w:p>
      <w:pPr>
        <w:pStyle w:val="TextBody"/>
        <w:bidi w:val="0"/>
        <w:spacing w:before="60" w:after="283"/>
        <w:ind w:left="0" w:right="0" w:hanging="180"/>
        <w:jc w:val="left"/>
        <w:rPr/>
      </w:pPr>
      <w:r>
        <w:rPr/>
      </w:r>
    </w:p>
    <w:p>
      <w:pPr>
        <w:pStyle w:val="TextBody"/>
        <w:bidi w:val="0"/>
        <w:spacing w:before="60" w:after="283"/>
        <w:ind w:left="0" w:right="0" w:hanging="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60" w:after="283"/>
        <w:ind w:left="0" w:right="0" w:hanging="180"/>
        <w:jc w:val="left"/>
        <w:rPr>
          <w:rFonts w:ascii="Times New Roman;serif" w:hAnsi="Times New Roman;serif"/>
          <w:b/>
          <w:color w:val="000000"/>
          <w:sz w:val="20"/>
        </w:rPr>
      </w:pPr>
      <w:r>
        <w:rPr>
          <w:rFonts w:ascii="Times New Roman;serif" w:hAnsi="Times New Roman;serif"/>
          <w:b/>
          <w:color w:val="000000"/>
          <w:sz w:val="20"/>
        </w:rPr>
        <w:t>Summary of Consolidated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White Mountains’s consolidated financial results by industry for the three and six months ended June 30, 2026 and 2025:</w:t>
      </w:r>
    </w:p>
    <w:tbl>
      <w:tblPr>
        <w:tblW w:w="10205" w:type="dxa"/>
        <w:jc w:val="center"/>
        <w:tblInd w:w="0" w:type="dxa"/>
        <w:tblLayout w:type="fixed"/>
        <w:tblCellMar>
          <w:top w:w="28" w:type="dxa"/>
          <w:left w:w="28" w:type="dxa"/>
          <w:bottom w:w="28" w:type="dxa"/>
          <w:right w:w="28" w:type="dxa"/>
        </w:tblCellMar>
      </w:tblPr>
      <w:tblGrid>
        <w:gridCol w:w="1845"/>
        <w:gridCol w:w="1604"/>
        <w:gridCol w:w="1633"/>
        <w:gridCol w:w="109"/>
        <w:gridCol w:w="109"/>
        <w:gridCol w:w="109"/>
        <w:gridCol w:w="213"/>
        <w:gridCol w:w="622"/>
        <w:gridCol w:w="118"/>
        <w:gridCol w:w="118"/>
        <w:gridCol w:w="118"/>
        <w:gridCol w:w="118"/>
        <w:gridCol w:w="213"/>
        <w:gridCol w:w="606"/>
        <w:gridCol w:w="118"/>
        <w:gridCol w:w="109"/>
        <w:gridCol w:w="109"/>
        <w:gridCol w:w="109"/>
        <w:gridCol w:w="196"/>
        <w:gridCol w:w="571"/>
        <w:gridCol w:w="109"/>
        <w:gridCol w:w="109"/>
        <w:gridCol w:w="109"/>
        <w:gridCol w:w="109"/>
        <w:gridCol w:w="196"/>
        <w:gridCol w:w="556"/>
        <w:gridCol w:w="109"/>
        <w:gridCol w:w="161"/>
      </w:tblGrid>
      <w:tr>
        <w:trPr/>
        <w:tc>
          <w:tcPr>
            <w:tcW w:w="1845"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61"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61"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P&amp;C Insurance and Reinsurance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22"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439.6</w:t>
            </w: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447.9 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815.9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Management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68.9</w:t>
            </w: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131.9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Guarantee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20.4</w:t>
            </w: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Specialty Insurance Distribution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57.4</w:t>
            </w: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97.7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Industrial and Consumer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92.8</w:t>
            </w: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136.5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P&amp;C Insurance Distribution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62.5 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Operations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165.5</w:t>
            </w: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91.4 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142.8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844.6</w:t>
            </w:r>
            <w:r>
              <w:rPr>
                <w:color w:val="000000"/>
              </w:rPr>
              <w:t>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689.2 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1,362.4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1,267.0 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P&amp;C Insurance and Reinsurance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359.5</w:t>
            </w: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350.4 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726.6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Management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11.9</w:t>
            </w: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Guarantee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10.0</w:t>
            </w: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Specialty Insurance Distribution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67.9</w:t>
            </w: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125.8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Industrial and Consumer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88.7</w:t>
            </w: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134.9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P&amp;C Insurance Distribution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46.4 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Operations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50.6</w:t>
            </w: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105.0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588.6</w:t>
            </w:r>
            <w:r>
              <w:rPr>
                <w:color w:val="000000"/>
              </w:rPr>
              <w:t>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512.7 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1,131.9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1,018.1 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Pre-tax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P&amp;C Insurance and Reinsurance pre-tax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80.1</w:t>
            </w: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97.5 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89.3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Management pre-tax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57.0</w:t>
            </w: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108.7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Guarantee pre-tax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10.4</w:t>
            </w: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Specialty Insurance Distribution pre-tax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(10.5)</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(28.1)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Services, Industrial and Consumer pre-tax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4.1</w:t>
            </w: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P&amp;C Insurance Distribution pre-tax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Operations pre-tax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114.9</w:t>
            </w: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pre-tax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256.0</w:t>
            </w:r>
            <w:r>
              <w:rPr>
                <w:color w:val="000000"/>
              </w:rPr>
              <w:t>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176.5 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230.5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(24.8)</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(25.6)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231.2</w:t>
            </w:r>
            <w:r>
              <w:rPr>
                <w:color w:val="000000"/>
              </w:rPr>
              <w:t>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163.6 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204.9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(31.7)</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 attributable to White Mountains’s common</w:t>
              <w:br/>
              <w:t>   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199.5</w:t>
            </w:r>
            <w:r>
              <w:rPr>
                <w:color w:val="000000"/>
              </w:rPr>
              <w:t>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122.9 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172.3</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net of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199.0</w:t>
            </w:r>
            <w:r>
              <w:rPr>
                <w:color w:val="000000"/>
              </w:rPr>
              <w:t>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124.0 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172.8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 loss attributable to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w:t>
            </w:r>
            <w:r>
              <w:rPr>
                <w:color w:val="000000"/>
              </w:rPr>
              <w:t>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082"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Comprehensive income (loss) attributable to White</w:t>
              <w:br/>
              <w:t>   Mountains’s common shareholders</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199.4</w:t>
            </w:r>
            <w:r>
              <w:rPr>
                <w:color w:val="000000"/>
              </w:rPr>
              <w:t> </w:t>
            </w:r>
          </w:p>
        </w:tc>
        <w:tc>
          <w:tcPr>
            <w:tcW w:w="1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123.7 </w:t>
            </w:r>
          </w:p>
        </w:tc>
        <w:tc>
          <w:tcPr>
            <w:tcW w:w="1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172.8</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firstLine="630"/>
        <w:jc w:val="left"/>
        <w:rPr/>
      </w:pPr>
      <w:r>
        <w:rPr/>
      </w:r>
    </w:p>
    <w:p>
      <w:pPr>
        <w:pStyle w:val="TextBody"/>
        <w:bidi w:val="0"/>
        <w:spacing w:before="0" w:after="0"/>
        <w:ind w:left="0" w:right="0" w:firstLine="630"/>
        <w:jc w:val="left"/>
        <w:rPr/>
      </w:pPr>
      <w:r>
        <w:rPr/>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 SUMMARY OF OPERATIONS BY SEGMENT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 xml:space="preserve">As of June 30, 2026, White Mountains conducted its operations through five reportable segments: (1) Ark/WM Outrigger, (2) Kudu, (3) HG Global, (4) Distinguished and (5) WTM Partners, with its remaining operating businesses, holding companies and other assets included in Other Operations. White Mountains has made its segment determination based on consideration of the following criteria: (i) the nature of the business activities of each of the Company’s subsidiaries and affiliates; (ii) the manner in which the Company’s subsidiaries and affiliates are organized; (iii) the existence of primary managers responsible for specific subsidiaries and affiliates; and (iv) the organization of information provided to the Company’s CODM and the Board of Directors. Significant intercompany transactions among White Mountains’s segments have been eliminated herein. White Mountains’s segment information is presented in </w:t>
      </w:r>
      <w:r>
        <w:rPr>
          <w:rFonts w:ascii="Times New Roman;serif" w:hAnsi="Times New Roman;serif"/>
          <w:b/>
          <w:color w:val="000000"/>
          <w:sz w:val="20"/>
        </w:rPr>
        <w:t>Note 14 — “Segment Information”</w:t>
      </w:r>
      <w:r>
        <w:rPr>
          <w:color w:val="000000"/>
        </w:rPr>
        <w:t xml:space="preserve"> </w:t>
      </w:r>
      <w:r>
        <w:rPr>
          <w:rFonts w:ascii="Times New Roman;serif" w:hAnsi="Times New Roman;serif"/>
          <w:b w:val="false"/>
          <w:color w:val="000000"/>
          <w:sz w:val="20"/>
        </w:rPr>
        <w:t xml:space="preserve">on page </w:t>
      </w:r>
      <w:hyperlink w:anchor="if3b6a78c08cc435986c2cd9f5808536f_100">
        <w:r>
          <w:rPr>
            <w:rStyle w:val="InternetLink"/>
            <w:rFonts w:ascii="Times New Roman;serif" w:hAnsi="Times New Roman;serif"/>
            <w:b w:val="false"/>
            <w:strike w:val="false"/>
            <w:dstrike w:val="false"/>
            <w:color w:val="000000"/>
            <w:sz w:val="20"/>
            <w:u w:val="none"/>
            <w:effect w:val="none"/>
          </w:rPr>
          <w:t>43</w:t>
        </w:r>
      </w:hyperlink>
      <w:r>
        <w:rPr>
          <w:rFonts w:ascii="Times New Roman;serif" w:hAnsi="Times New Roman;serif"/>
          <w:b w:val="false"/>
          <w:color w:val="000000"/>
          <w:sz w:val="20"/>
        </w:rPr>
        <w: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discussion of White Mountains’s consolidated investment operations is included after the discussion of operations by segment.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Ark/WM Outrigger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Ark is a specialty property and casualty insurance and reinsurance company that offers a wide range of niche insurance and reinsurance products, including property, specialty, marine &amp; energy, casualty and accident &amp; health. Ark underwrites select coverages through its two major subsidiaries in the United Kingdom and Bermuda.</w:t>
      </w:r>
    </w:p>
    <w:p>
      <w:pPr>
        <w:pStyle w:val="TextBody"/>
        <w:bidi w:val="0"/>
        <w:spacing w:lineRule="auto" w:line="288" w:before="0" w:after="0"/>
        <w:jc w:val="left"/>
        <w:rPr/>
      </w:pPr>
      <w:r>
        <w:rPr>
          <w:rFonts w:ascii="Times New Roman;serif" w:hAnsi="Times New Roman;serif"/>
          <w:b w:val="false"/>
          <w:color w:val="000000"/>
          <w:sz w:val="20"/>
        </w:rPr>
        <w:t>Ark sponsored the formation of Outrigger Re Ltd., a Bermuda company registered as a special purpose insurer and segregated accounts company, to provide collateralized reinsurance protection on Ark’s Bermuda global property catastrophe excess of loss portfolio. White Mountains consolidates its segregated account of Outrigger Re Ltd., WM Outrigger Re, in its financial statements</w:t>
      </w:r>
      <w:r>
        <w:rPr>
          <w:rFonts w:ascii="Times New Roman;serif" w:hAnsi="Times New Roman;serif"/>
          <w:b w:val="false"/>
          <w:color w:val="008080"/>
          <w:sz w:val="24"/>
        </w:rPr>
        <w: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the components of pre-tax income (loss) included in the Ark/WM Outrigger segment for the three and six months ended June 30, 2026 and 2025:</w:t>
      </w:r>
    </w:p>
    <w:tbl>
      <w:tblPr>
        <w:tblW w:w="10096" w:type="dxa"/>
        <w:jc w:val="left"/>
        <w:tblInd w:w="0" w:type="dxa"/>
        <w:tblLayout w:type="fixed"/>
        <w:tblCellMar>
          <w:top w:w="28" w:type="dxa"/>
          <w:left w:w="28" w:type="dxa"/>
          <w:bottom w:w="28" w:type="dxa"/>
          <w:right w:w="28" w:type="dxa"/>
        </w:tblCellMar>
      </w:tblPr>
      <w:tblGrid>
        <w:gridCol w:w="1719"/>
        <w:gridCol w:w="1509"/>
        <w:gridCol w:w="1527"/>
        <w:gridCol w:w="109"/>
        <w:gridCol w:w="109"/>
        <w:gridCol w:w="109"/>
        <w:gridCol w:w="211"/>
        <w:gridCol w:w="631"/>
        <w:gridCol w:w="109"/>
        <w:gridCol w:w="109"/>
        <w:gridCol w:w="109"/>
        <w:gridCol w:w="109"/>
        <w:gridCol w:w="307"/>
        <w:gridCol w:w="613"/>
        <w:gridCol w:w="160"/>
        <w:gridCol w:w="109"/>
        <w:gridCol w:w="109"/>
        <w:gridCol w:w="109"/>
        <w:gridCol w:w="292"/>
        <w:gridCol w:w="562"/>
        <w:gridCol w:w="152"/>
        <w:gridCol w:w="109"/>
        <w:gridCol w:w="109"/>
        <w:gridCol w:w="109"/>
        <w:gridCol w:w="211"/>
        <w:gridCol w:w="631"/>
        <w:gridCol w:w="154"/>
      </w:tblGrid>
      <w:tr>
        <w:trPr/>
        <w:tc>
          <w:tcPr>
            <w:tcW w:w="171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4063" w:type="dxa"/>
            <w:gridSpan w:val="18"/>
            <w:tcBorders/>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Ark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WM</w:t>
              <w:br/>
              <w:t>Outrigger 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written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373.6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373.6</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 written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403.9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403.9</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written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777.5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777.5</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Ceded written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(239.7)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(240.1)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written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537.8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537.4</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Earned insurance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375.4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w:t>
            </w: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376.2</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w:t>
            </w: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28.0</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and unrealized investment 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30.5</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437.7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w:t>
            </w:r>
            <w:r>
              <w:rPr>
                <w:color w:val="000000"/>
              </w:rPr>
              <w:t>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439.6</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and LAE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175.7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175.6</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acquisition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w:t>
            </w: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103.7</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 other underwriting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36.3</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 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31.7</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16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359.5</w:t>
            </w: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Pre-tax income (loss)</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78.4</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w:t>
            </w:r>
            <w:r>
              <w:rPr>
                <w:color w:val="000000"/>
              </w:rPr>
              <w:t> </w:t>
            </w:r>
          </w:p>
        </w:tc>
        <w:tc>
          <w:tcPr>
            <w:tcW w:w="1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80.1</w:t>
            </w:r>
            <w:r>
              <w:rPr>
                <w:color w:val="000000"/>
              </w:rPr>
              <w:t>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065" w:type="dxa"/>
        <w:jc w:val="left"/>
        <w:tblInd w:w="0" w:type="dxa"/>
        <w:tblLayout w:type="fixed"/>
        <w:tblCellMar>
          <w:top w:w="28" w:type="dxa"/>
          <w:left w:w="28" w:type="dxa"/>
          <w:bottom w:w="28" w:type="dxa"/>
          <w:right w:w="28" w:type="dxa"/>
        </w:tblCellMar>
      </w:tblPr>
      <w:tblGrid>
        <w:gridCol w:w="1719"/>
        <w:gridCol w:w="1509"/>
        <w:gridCol w:w="1527"/>
        <w:gridCol w:w="109"/>
        <w:gridCol w:w="109"/>
        <w:gridCol w:w="109"/>
        <w:gridCol w:w="211"/>
        <w:gridCol w:w="616"/>
        <w:gridCol w:w="109"/>
        <w:gridCol w:w="109"/>
        <w:gridCol w:w="109"/>
        <w:gridCol w:w="109"/>
        <w:gridCol w:w="273"/>
        <w:gridCol w:w="664"/>
        <w:gridCol w:w="142"/>
        <w:gridCol w:w="109"/>
        <w:gridCol w:w="109"/>
        <w:gridCol w:w="109"/>
        <w:gridCol w:w="292"/>
        <w:gridCol w:w="562"/>
        <w:gridCol w:w="152"/>
        <w:gridCol w:w="109"/>
        <w:gridCol w:w="109"/>
        <w:gridCol w:w="109"/>
        <w:gridCol w:w="211"/>
        <w:gridCol w:w="616"/>
        <w:gridCol w:w="154"/>
      </w:tblGrid>
      <w:tr>
        <w:trPr/>
        <w:tc>
          <w:tcPr>
            <w:tcW w:w="171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4047" w:type="dxa"/>
            <w:gridSpan w:val="18"/>
            <w:tcBorders/>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Ark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WM</w:t>
              <w:br/>
              <w:t>Outrigger 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written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 written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written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Ceded written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written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Earned insurance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and unrealized investment 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and LAE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acquisition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 other underwriting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 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Pre-tax income (loss)</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666"/>
        <w:gridCol w:w="1446"/>
        <w:gridCol w:w="1463"/>
        <w:gridCol w:w="109"/>
        <w:gridCol w:w="109"/>
        <w:gridCol w:w="109"/>
        <w:gridCol w:w="211"/>
        <w:gridCol w:w="781"/>
        <w:gridCol w:w="109"/>
        <w:gridCol w:w="109"/>
        <w:gridCol w:w="109"/>
        <w:gridCol w:w="109"/>
        <w:gridCol w:w="303"/>
        <w:gridCol w:w="605"/>
        <w:gridCol w:w="158"/>
        <w:gridCol w:w="109"/>
        <w:gridCol w:w="109"/>
        <w:gridCol w:w="109"/>
        <w:gridCol w:w="292"/>
        <w:gridCol w:w="562"/>
        <w:gridCol w:w="152"/>
        <w:gridCol w:w="109"/>
        <w:gridCol w:w="109"/>
        <w:gridCol w:w="109"/>
        <w:gridCol w:w="211"/>
        <w:gridCol w:w="781"/>
        <w:gridCol w:w="157"/>
      </w:tblGrid>
      <w:tr>
        <w:trPr/>
        <w:tc>
          <w:tcPr>
            <w:tcW w:w="1666"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4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4202" w:type="dxa"/>
            <w:gridSpan w:val="18"/>
            <w:tcBorders/>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Ark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WM</w:t>
              <w:br/>
              <w:t>Outrigger 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5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written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730.9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730.9</w:t>
            </w:r>
            <w:r>
              <w:rPr>
                <w:color w:val="000000"/>
              </w:rPr>
              <w:t>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 written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1,137.5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1,137.5</w:t>
            </w: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written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1,868.4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1,868.4</w:t>
            </w:r>
            <w:r>
              <w:rPr>
                <w:color w:val="000000"/>
              </w:rPr>
              <w:t>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Ceded written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(740.5)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(740.9)</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written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1,127.9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0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1,127.5</w:t>
            </w:r>
            <w:r>
              <w:rPr>
                <w:color w:val="000000"/>
              </w:rPr>
              <w:t>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Earned insurance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746.5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05"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750.0</w:t>
            </w: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56.7</w:t>
            </w: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and unrealized investment 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w:t>
            </w: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810.1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w:t>
            </w:r>
            <w:r>
              <w:rPr>
                <w:color w:val="000000"/>
              </w:rPr>
              <w:t>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815.9</w:t>
            </w:r>
            <w:r>
              <w:rPr>
                <w:color w:val="000000"/>
              </w:rPr>
              <w:t>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and LAE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382.1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382.3</w:t>
            </w:r>
            <w:r>
              <w:rPr>
                <w:color w:val="000000"/>
              </w:rPr>
              <w:t>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acquisition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201.3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202.5</w:t>
            </w: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 other underwriting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71.2</w:t>
            </w: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 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20.7</w:t>
            </w: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41.7</w:t>
            </w: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w:t>
            </w: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725.2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w:t>
            </w:r>
            <w:r>
              <w:rPr>
                <w:color w:val="000000"/>
              </w:rPr>
              <w:t>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726.6</w:t>
            </w:r>
            <w:r>
              <w:rPr>
                <w:color w:val="000000"/>
              </w:rPr>
              <w:t>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Pre-tax income (loss)</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84.9</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w:t>
            </w:r>
            <w:r>
              <w:rPr>
                <w:color w:val="000000"/>
              </w:rPr>
              <w:t> </w:t>
            </w:r>
          </w:p>
        </w:tc>
        <w:tc>
          <w:tcPr>
            <w:tcW w:w="1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89.3</w:t>
            </w:r>
            <w:r>
              <w:rPr>
                <w:color w:val="000000"/>
              </w:rPr>
              <w:t> </w:t>
            </w:r>
          </w:p>
        </w:tc>
        <w:tc>
          <w:tcPr>
            <w:tcW w:w="1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675"/>
        <w:gridCol w:w="1456"/>
        <w:gridCol w:w="1473"/>
        <w:gridCol w:w="109"/>
        <w:gridCol w:w="109"/>
        <w:gridCol w:w="109"/>
        <w:gridCol w:w="211"/>
        <w:gridCol w:w="766"/>
        <w:gridCol w:w="109"/>
        <w:gridCol w:w="109"/>
        <w:gridCol w:w="109"/>
        <w:gridCol w:w="109"/>
        <w:gridCol w:w="270"/>
        <w:gridCol w:w="657"/>
        <w:gridCol w:w="140"/>
        <w:gridCol w:w="109"/>
        <w:gridCol w:w="109"/>
        <w:gridCol w:w="109"/>
        <w:gridCol w:w="292"/>
        <w:gridCol w:w="562"/>
        <w:gridCol w:w="152"/>
        <w:gridCol w:w="109"/>
        <w:gridCol w:w="109"/>
        <w:gridCol w:w="109"/>
        <w:gridCol w:w="211"/>
        <w:gridCol w:w="766"/>
        <w:gridCol w:w="157"/>
      </w:tblGrid>
      <w:tr>
        <w:trPr/>
        <w:tc>
          <w:tcPr>
            <w:tcW w:w="1675"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4188" w:type="dxa"/>
            <w:gridSpan w:val="18"/>
            <w:tcBorders/>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Ark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WM</w:t>
              <w:br/>
              <w:t>Outrigger 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written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773.4 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 written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1,149.4 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written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80.1 </w:t>
            </w:r>
          </w:p>
        </w:tc>
        <w:tc>
          <w:tcPr>
            <w:tcW w:w="1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1,922.8 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Ceded written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(696.6)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(616.5)</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written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80.1 </w:t>
            </w:r>
          </w:p>
        </w:tc>
        <w:tc>
          <w:tcPr>
            <w:tcW w:w="1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1,306.3 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Earned insurance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722.2 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and unrealized investment 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861.1 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and LAE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1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397.5 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acquisition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 other underwriting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 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contingent 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4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717.2 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Pre-tax income (loss)</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143.9 </w:t>
            </w:r>
          </w:p>
        </w:tc>
        <w:tc>
          <w:tcPr>
            <w:tcW w:w="1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Ark/WM Outrigger Results—Three Months Ended June 30, 2026 versus Three Months Ended June 30, 2025</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Ark/WM Outrigger segment’s combined ratio was 84% in both the second quarter of 2026 and 2025. The Ark/WM Outrigger segment reported gross written premiums of $778 million, net written premiums of $537 million and net earned premiums of $376 million in the second quarter of 2026 compared to gross written premiums of $815 million, net written premiums of $579 million and net earned premiums of $364 million in the second quarter of 2025. The Ark/WM Outrigger segment reported pre-tax income of $80 million in the second quarter of 2026 compared to $98 million in the second quarter of 2025.</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Ark’s combined ratio was 84% and 85% in the second quarter of 2026 and 2025. Ark’s combined ratio in the second quarter of 2026 included three points of catastrophe losses, driven primarily by losses related to the war in Iran, compared to minimal catastrophe losses in the second quarter of 2025. Ark’s combined ratio in the second quarter of 2026 included eight points of net favorable prior year development, driven by the property and specialty lines of business. This compares to five points of net favorable prior year development in the second quarter of 2025, driven primarily by the property and specialty lines of business, partially offset by six points of unfavorable development related to aviation losses from the conflict in Ukraine.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Ark has ongoing exposure to the war in Iran, primarily through the specialty and marine &amp; energy lines of business. In the second quarter of 2026, Ark recorded estimated losses of $17 million (net of reinsurance and reinstatement premiums) related to the war.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Ark reported gross written premiums of $778 million, net written premiums of $538 million and net earned premiums of $375 million in the second quarter of 2026 compared to gross written premiums of $815 million, net written premiums of $536 million and net earned premiums of $357 million in the second quarter of 2025. The decline in gross written premiums in the second quarter of 2026 was driven primarily by softening market conditions in property lines, which was partially offset by growth in specialty lines.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Ark reported pre-tax income of $78 million in the second quarter of 2026 compared to $91 million in the second quarter of 2025. Ark’s results included net realized and unrealized investment gains of $31 million in the second quarter of 2026, driven primarily by net unrealized investment gains from common equity securities and other long-term investments, compared to net realized and unrealized investment gains of $51 million in the second quarter of 2025, driven primarily by net unrealized investment gains from foreign currency, other long-term investments and common equity securities. Ark’s results also included a $32 million expense related to the increase in fair value of White Mountains’s contingent consideration liability in the second quarter of 2026 compared to $28 million in the second quarter of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WM Outrigger Re’s combined ratio was 25% in the second quarter of 2026 compared to 44% in the second quarter of 2025. Catastrophe losses were minimal in the second quarter of 2026 and 2025. WM Outrigger Re reported gross written premiums of $0 million and net earned premiums of $1 million in the second quarter of 2026 compared to gross written premiums of $43 million and net earned premiums of $7 million in the second quarter of 2025. WM Outrigger Re reported pre-tax income of $2 million in the second quarter of 2026 compared to $6 million in the second quarter of 2025.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the Ark/WM Outrigger segment’s insurance premiums, insurance expenses and insurance ratios for the three months ended June 30, 2026 and 2025:</w:t>
      </w:r>
    </w:p>
    <w:tbl>
      <w:tblPr>
        <w:tblW w:w="8725" w:type="dxa"/>
        <w:jc w:val="center"/>
        <w:tblInd w:w="0" w:type="dxa"/>
        <w:tblLayout w:type="fixed"/>
        <w:tblCellMar>
          <w:top w:w="28" w:type="dxa"/>
          <w:left w:w="28" w:type="dxa"/>
          <w:bottom w:w="28" w:type="dxa"/>
          <w:right w:w="28" w:type="dxa"/>
        </w:tblCellMar>
      </w:tblPr>
      <w:tblGrid>
        <w:gridCol w:w="955"/>
        <w:gridCol w:w="841"/>
        <w:gridCol w:w="844"/>
        <w:gridCol w:w="109"/>
        <w:gridCol w:w="109"/>
        <w:gridCol w:w="109"/>
        <w:gridCol w:w="211"/>
        <w:gridCol w:w="631"/>
        <w:gridCol w:w="301"/>
        <w:gridCol w:w="109"/>
        <w:gridCol w:w="109"/>
        <w:gridCol w:w="109"/>
        <w:gridCol w:w="342"/>
        <w:gridCol w:w="610"/>
        <w:gridCol w:w="488"/>
        <w:gridCol w:w="109"/>
        <w:gridCol w:w="109"/>
        <w:gridCol w:w="109"/>
        <w:gridCol w:w="231"/>
        <w:gridCol w:w="444"/>
        <w:gridCol w:w="331"/>
        <w:gridCol w:w="109"/>
        <w:gridCol w:w="109"/>
        <w:gridCol w:w="109"/>
        <w:gridCol w:w="211"/>
        <w:gridCol w:w="631"/>
        <w:gridCol w:w="346"/>
      </w:tblGrid>
      <w:tr>
        <w:trPr/>
        <w:tc>
          <w:tcPr>
            <w:tcW w:w="95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Ark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WM Outrigger 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Insurance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written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777.5</w:t>
            </w: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w:t>
            </w:r>
          </w:p>
        </w:tc>
        <w:tc>
          <w:tcPr>
            <w:tcW w:w="4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4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777.5</w:t>
            </w: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written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537.8</w:t>
            </w: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w:t>
            </w:r>
          </w:p>
        </w:tc>
        <w:tc>
          <w:tcPr>
            <w:tcW w:w="4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4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537.4</w:t>
            </w: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earned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375.4</w:t>
            </w: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w:t>
            </w:r>
            <w:r>
              <w:rPr>
                <w:color w:val="000000"/>
              </w:rPr>
              <w:t> </w:t>
            </w:r>
          </w:p>
        </w:tc>
        <w:tc>
          <w:tcPr>
            <w:tcW w:w="4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4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376.2</w:t>
            </w: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Insurance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and LAE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175.7</w:t>
            </w: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4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4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175.6</w:t>
            </w: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acquisition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103.4</w:t>
            </w: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w:t>
            </w:r>
            <w:r>
              <w:rPr>
                <w:color w:val="000000"/>
              </w:rPr>
              <w:t> </w:t>
            </w:r>
          </w:p>
        </w:tc>
        <w:tc>
          <w:tcPr>
            <w:tcW w:w="4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103.7</w:t>
            </w: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underwriting expenses </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36.3</w:t>
            </w: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36.3</w:t>
            </w: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insurance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315.4</w:t>
            </w:r>
            <w:r>
              <w:rPr>
                <w:color w:val="000000"/>
              </w:rPr>
              <w:t> </w:t>
            </w:r>
          </w:p>
        </w:tc>
        <w:tc>
          <w:tcPr>
            <w:tcW w:w="3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1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4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315.6</w:t>
            </w:r>
            <w:r>
              <w:rPr>
                <w:color w:val="000000"/>
              </w:rPr>
              <w:t> </w:t>
            </w:r>
          </w:p>
        </w:tc>
        <w:tc>
          <w:tcPr>
            <w:tcW w:w="3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Insurance ratios: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and LAE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46.8</w:t>
            </w:r>
            <w:r>
              <w:rPr>
                <w:color w:val="000000"/>
              </w:rPr>
              <w:t>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(12.5)</w:t>
            </w:r>
          </w:p>
        </w:tc>
        <w:tc>
          <w:tcPr>
            <w:tcW w:w="48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46.7</w:t>
            </w:r>
            <w:r>
              <w:rPr>
                <w:color w:val="000000"/>
              </w:rPr>
              <w:t> </w:t>
            </w:r>
          </w:p>
        </w:tc>
        <w:tc>
          <w:tcPr>
            <w:tcW w:w="3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acquisition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27.5</w:t>
            </w: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37.5</w:t>
            </w:r>
            <w:r>
              <w:rPr>
                <w:color w:val="000000"/>
              </w:rPr>
              <w:t> </w:t>
            </w:r>
          </w:p>
        </w:tc>
        <w:tc>
          <w:tcPr>
            <w:tcW w:w="4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27.6</w:t>
            </w: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underwriting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w:t>
            </w: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w:t>
            </w: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Combined Ratio</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84.0</w:t>
            </w:r>
            <w:r>
              <w:rPr>
                <w:color w:val="000000"/>
              </w:rPr>
              <w:t> </w:t>
            </w:r>
          </w:p>
        </w:tc>
        <w:tc>
          <w:tcPr>
            <w:tcW w:w="3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25.0</w:t>
            </w:r>
            <w:r>
              <w:rPr>
                <w:color w:val="000000"/>
              </w:rPr>
              <w:t> </w:t>
            </w:r>
          </w:p>
        </w:tc>
        <w:tc>
          <w:tcPr>
            <w:tcW w:w="48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83.9</w:t>
            </w:r>
            <w:r>
              <w:rPr>
                <w:color w:val="000000"/>
              </w:rPr>
              <w:t> </w:t>
            </w:r>
          </w:p>
        </w:tc>
        <w:tc>
          <w:tcPr>
            <w:tcW w:w="3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60" w:after="283"/>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Included within general and administrative expenses in the consolidated statement of operations.</w:t>
      </w:r>
    </w:p>
    <w:p>
      <w:pPr>
        <w:pStyle w:val="TextBody"/>
        <w:bidi w:val="0"/>
        <w:spacing w:before="60" w:after="283"/>
        <w:jc w:val="left"/>
        <w:rPr/>
      </w:pPr>
      <w:r>
        <w:rPr/>
      </w:r>
    </w:p>
    <w:tbl>
      <w:tblPr>
        <w:tblW w:w="8697" w:type="dxa"/>
        <w:jc w:val="center"/>
        <w:tblInd w:w="0" w:type="dxa"/>
        <w:tblLayout w:type="fixed"/>
        <w:tblCellMar>
          <w:top w:w="28" w:type="dxa"/>
          <w:left w:w="28" w:type="dxa"/>
          <w:bottom w:w="28" w:type="dxa"/>
          <w:right w:w="28" w:type="dxa"/>
        </w:tblCellMar>
      </w:tblPr>
      <w:tblGrid>
        <w:gridCol w:w="955"/>
        <w:gridCol w:w="841"/>
        <w:gridCol w:w="844"/>
        <w:gridCol w:w="109"/>
        <w:gridCol w:w="109"/>
        <w:gridCol w:w="109"/>
        <w:gridCol w:w="211"/>
        <w:gridCol w:w="616"/>
        <w:gridCol w:w="271"/>
        <w:gridCol w:w="109"/>
        <w:gridCol w:w="109"/>
        <w:gridCol w:w="109"/>
        <w:gridCol w:w="306"/>
        <w:gridCol w:w="741"/>
        <w:gridCol w:w="393"/>
        <w:gridCol w:w="109"/>
        <w:gridCol w:w="109"/>
        <w:gridCol w:w="109"/>
        <w:gridCol w:w="211"/>
        <w:gridCol w:w="586"/>
        <w:gridCol w:w="271"/>
        <w:gridCol w:w="109"/>
        <w:gridCol w:w="109"/>
        <w:gridCol w:w="109"/>
        <w:gridCol w:w="211"/>
        <w:gridCol w:w="616"/>
        <w:gridCol w:w="316"/>
      </w:tblGrid>
      <w:tr>
        <w:trPr/>
        <w:tc>
          <w:tcPr>
            <w:tcW w:w="95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Ark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WM Outrigger 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Insurance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written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815.2 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written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578.6 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earned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364.2 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Insurance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and LAE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acquisition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underwriting expenses </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insurance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304.4 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9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307.5 </w:t>
            </w:r>
          </w:p>
        </w:tc>
        <w:tc>
          <w:tcPr>
            <w:tcW w:w="3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Insurance ratios: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and LAE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39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acquisition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underwriting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Combined Ratio</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2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39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3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ind w:left="0" w:right="0" w:firstLine="72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Included within general and administrative expenses in the consolidated statement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6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WM Outrigger Re’s insurance premiums, combined ratio and pre-tax income by underwriting year for the three months ended June 30, 2026 and 2025:</w:t>
      </w:r>
    </w:p>
    <w:tbl>
      <w:tblPr>
        <w:tblW w:w="10037" w:type="dxa"/>
        <w:jc w:val="center"/>
        <w:tblInd w:w="0" w:type="dxa"/>
        <w:tblLayout w:type="fixed"/>
        <w:tblCellMar>
          <w:top w:w="28" w:type="dxa"/>
          <w:left w:w="28" w:type="dxa"/>
          <w:bottom w:w="28" w:type="dxa"/>
          <w:right w:w="28" w:type="dxa"/>
        </w:tblCellMar>
      </w:tblPr>
      <w:tblGrid>
        <w:gridCol w:w="732"/>
        <w:gridCol w:w="645"/>
        <w:gridCol w:w="647"/>
        <w:gridCol w:w="109"/>
        <w:gridCol w:w="109"/>
        <w:gridCol w:w="109"/>
        <w:gridCol w:w="426"/>
        <w:gridCol w:w="851"/>
        <w:gridCol w:w="612"/>
        <w:gridCol w:w="109"/>
        <w:gridCol w:w="109"/>
        <w:gridCol w:w="109"/>
        <w:gridCol w:w="400"/>
        <w:gridCol w:w="972"/>
        <w:gridCol w:w="517"/>
        <w:gridCol w:w="109"/>
        <w:gridCol w:w="109"/>
        <w:gridCol w:w="109"/>
        <w:gridCol w:w="539"/>
        <w:gridCol w:w="656"/>
        <w:gridCol w:w="694"/>
        <w:gridCol w:w="109"/>
        <w:gridCol w:w="109"/>
        <w:gridCol w:w="109"/>
        <w:gridCol w:w="211"/>
        <w:gridCol w:w="511"/>
        <w:gridCol w:w="316"/>
      </w:tblGrid>
      <w:tr>
        <w:trPr/>
        <w:tc>
          <w:tcPr>
            <w:tcW w:w="73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2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0"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Underwriting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Underwriting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 Underwriting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Insurance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written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w:t>
            </w:r>
          </w:p>
        </w:tc>
        <w:tc>
          <w:tcPr>
            <w:tcW w:w="6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5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6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written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w:t>
            </w:r>
          </w:p>
        </w:tc>
        <w:tc>
          <w:tcPr>
            <w:tcW w:w="6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42.9 </w:t>
            </w:r>
          </w:p>
        </w:tc>
        <w:tc>
          <w:tcPr>
            <w:tcW w:w="5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6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earned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w:t>
            </w:r>
            <w:r>
              <w:rPr>
                <w:color w:val="000000"/>
              </w:rPr>
              <w:t> </w:t>
            </w:r>
          </w:p>
        </w:tc>
        <w:tc>
          <w:tcPr>
            <w:tcW w:w="6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5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69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Combined 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25.0</w:t>
            </w:r>
            <w:r>
              <w:rPr>
                <w:color w:val="000000"/>
              </w:rPr>
              <w:t> </w:t>
            </w:r>
          </w:p>
        </w:tc>
        <w:tc>
          <w:tcPr>
            <w:tcW w:w="61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51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163.8 </w:t>
            </w:r>
          </w:p>
        </w:tc>
        <w:tc>
          <w:tcPr>
            <w:tcW w:w="69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Pre-tax income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5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w:t>
            </w:r>
            <w:r>
              <w:rPr>
                <w:color w:val="000000"/>
              </w:rPr>
              <w:t> </w:t>
            </w:r>
          </w:p>
        </w:tc>
        <w:tc>
          <w:tcPr>
            <w:tcW w:w="612"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0"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517"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39"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694"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31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Gross Written Premiums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Gross written premiums decreased 5% to $778 million in the second quarter of 2026 compared to $815 million in the second quarter of 2025, with risk adjusted rate change of -10%. The decline in gross written premiums in the second quarter of 2026 was driven primarily by softening market conditions in property lines, which was partially offset by growth in specialty lines.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Ark/WM Outrigger segment’s gross written premiums by line of business for the three months ended June 30, 2026 and 2025:</w:t>
      </w:r>
    </w:p>
    <w:p>
      <w:pPr>
        <w:pStyle w:val="TextBody"/>
        <w:bidi w:val="0"/>
        <w:spacing w:before="0" w:after="0"/>
        <w:jc w:val="left"/>
        <w:rPr/>
      </w:pPr>
      <w:r>
        <w:rPr/>
      </w:r>
    </w:p>
    <w:tbl>
      <w:tblPr>
        <w:tblW w:w="5688" w:type="dxa"/>
        <w:jc w:val="center"/>
        <w:tblInd w:w="0" w:type="dxa"/>
        <w:tblLayout w:type="fixed"/>
        <w:tblCellMar>
          <w:top w:w="28" w:type="dxa"/>
          <w:left w:w="28" w:type="dxa"/>
          <w:bottom w:w="28" w:type="dxa"/>
          <w:right w:w="28" w:type="dxa"/>
        </w:tblCellMar>
      </w:tblPr>
      <w:tblGrid>
        <w:gridCol w:w="985"/>
        <w:gridCol w:w="863"/>
        <w:gridCol w:w="881"/>
        <w:gridCol w:w="109"/>
        <w:gridCol w:w="109"/>
        <w:gridCol w:w="109"/>
        <w:gridCol w:w="215"/>
        <w:gridCol w:w="645"/>
        <w:gridCol w:w="111"/>
        <w:gridCol w:w="111"/>
        <w:gridCol w:w="111"/>
        <w:gridCol w:w="111"/>
        <w:gridCol w:w="215"/>
        <w:gridCol w:w="630"/>
        <w:gridCol w:w="111"/>
        <w:gridCol w:w="109"/>
        <w:gridCol w:w="109"/>
        <w:gridCol w:w="154"/>
      </w:tblGrid>
      <w:tr>
        <w:trPr/>
        <w:tc>
          <w:tcPr>
            <w:tcW w:w="985"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397.0</w:t>
            </w:r>
            <w:r>
              <w:rPr>
                <w:color w:val="000000"/>
              </w:rPr>
              <w:t>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500.2 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181.0</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135.8 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Marine &amp; Energy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120.1</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112.9 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Casualty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42.0</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Accident &amp; Health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37.4</w:t>
            </w: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Gross Written Premiums</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777.5</w:t>
            </w:r>
            <w:r>
              <w:rPr>
                <w:color w:val="000000"/>
              </w:rPr>
              <w:t> </w:t>
            </w:r>
          </w:p>
        </w:tc>
        <w:tc>
          <w:tcPr>
            <w:tcW w:w="1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815.2 </w:t>
            </w:r>
          </w:p>
        </w:tc>
        <w:tc>
          <w:tcPr>
            <w:tcW w:w="1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440"/>
        <w:jc w:val="center"/>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Ark/WM Outrigger Results—Six Months Ended June 30, 2026 versus Six Months Ended June 30, 2025</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Ark/WM Outrigger segment’s combined ratio was 88% in the first six months of 2026 compared to 90% in the first six months of 2025. The Ark/WM Outrigger segment reported gross written premiums of $1,868 million, net written premiums of $1,128 million and net earned premiums of $750 million in the first six months of 2026 compared to gross written premiums of $1,923 million, net written premiums of $1,306 million and net earned premiums of $722 million in the first six months of 2025. The Ark/WM Outrigger segment reported pre-tax income of $89 million in the first six months of 2026 compared to $144 million in the first six months of 2025.</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Ark’s combined ratio was 88% in the first six months of 2026 compared to 90% in the first six months of 2025. Ark’s combined ratio in the first six months of 2026 included five points of catastrophe losses, driven primarily by losses related to the war in Iran, compared to thirteen points of catastrophe losses in the first six months of 2025, driven by losses related to the California wildfires. Ark’s combined ratio in the first six months of 2026 included six points of net favorable prior year development, driven by the property and specialty lines of business. This compares to nine points of net favorable prior year loss reserve development in the first six months of 2025, driven primarily by the property, marine &amp; energy and specialty lines of business, partially offset by three points of unfavorable development related to aviation losses from the conflict in Ukraine.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Ark has ongoing exposure to the war in Iran, primarily through the specialty and marine &amp; energy lines of business. In the first six months of 2026, Ark recorded estimated losses of $42 million (net of reinsurance and reinstatement premiums) related to the war.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Ark reported gross written premiums of $1,868 million, net written premiums of $1,128 million and net earned premiums of $747 million in the first six months of 2026 compared to gross written premiums of $1,923 million, net written premiums of $1,226 million and net earned premiums of $703 million in the first six months of 2025. The decline in gross written premiums in the first six months of 2026 was driven primarily by a change in the timing of recognition of certain delegated authority business, which had no impact on the timing of recognition of Ark’s earned premiums.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Ark reported pre-tax income of $85 million in the first six months of 2026 compared to $144 million in the first six months of 2025. Ark’s results included net realized and unrealized investment gains (losses) of $(2) million in the first six months of 2026, driven primarily by net unrealized investment losses from fixed maturity investments and foreign currency, partially offset by net unrealized investment gains from other long-term investments, compared to $81 million in the first six months of 2025, driven primarily by net unrealized investment gains from foreign currency, common equity securities and other long-term investments. Ark’s results also included a $42 million expense related to the increase in fair value of White Mountains’s contingent consideration liability in the first six months of 2026 compared to $38 million in the first six months of 2025.</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WM Outrigger Re’s combined ratio was 40% in the first six months of 2026 compared to 120% in the first six months of 2025. Catastrophe losses were minimal in the first six months of 2026. Catastrophe losses in the first six months of 2025 included $19 million of losses related to the California wildfires (net of reinstatement premiums). WM Outrigger Re reported gross written premiums of $0 million and net earned premiums of $4 million in the first six months of 2026 compared to gross written premiums of $80 million and net earned premiums of $19 million in the first six months of 2025. WM Outrigger Re reported pre-tax income of $4 million in the first six months of 2026, compared to $0 million in the first six months of 2025.</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the Ark/WM Outrigger segment’s insurance premiums, insurance expenses and insurance ratios for the six months ended June 30, 2026 and 2025:</w:t>
      </w:r>
    </w:p>
    <w:tbl>
      <w:tblPr>
        <w:tblW w:w="9024" w:type="dxa"/>
        <w:jc w:val="center"/>
        <w:tblInd w:w="0" w:type="dxa"/>
        <w:tblLayout w:type="fixed"/>
        <w:tblCellMar>
          <w:top w:w="28" w:type="dxa"/>
          <w:left w:w="28" w:type="dxa"/>
          <w:bottom w:w="28" w:type="dxa"/>
          <w:right w:w="28" w:type="dxa"/>
        </w:tblCellMar>
      </w:tblPr>
      <w:tblGrid>
        <w:gridCol w:w="955"/>
        <w:gridCol w:w="841"/>
        <w:gridCol w:w="844"/>
        <w:gridCol w:w="109"/>
        <w:gridCol w:w="109"/>
        <w:gridCol w:w="109"/>
        <w:gridCol w:w="211"/>
        <w:gridCol w:w="781"/>
        <w:gridCol w:w="301"/>
        <w:gridCol w:w="109"/>
        <w:gridCol w:w="109"/>
        <w:gridCol w:w="109"/>
        <w:gridCol w:w="325"/>
        <w:gridCol w:w="650"/>
        <w:gridCol w:w="464"/>
        <w:gridCol w:w="109"/>
        <w:gridCol w:w="109"/>
        <w:gridCol w:w="109"/>
        <w:gridCol w:w="231"/>
        <w:gridCol w:w="444"/>
        <w:gridCol w:w="331"/>
        <w:gridCol w:w="109"/>
        <w:gridCol w:w="109"/>
        <w:gridCol w:w="109"/>
        <w:gridCol w:w="211"/>
        <w:gridCol w:w="781"/>
        <w:gridCol w:w="346"/>
      </w:tblGrid>
      <w:tr>
        <w:trPr/>
        <w:tc>
          <w:tcPr>
            <w:tcW w:w="95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4764" w:type="dxa"/>
            <w:gridSpan w:val="18"/>
            <w:tcBorders/>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Ark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WM Outrigger 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Insurance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written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1,868.4</w:t>
            </w: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w:t>
            </w:r>
          </w:p>
        </w:tc>
        <w:tc>
          <w:tcPr>
            <w:tcW w:w="4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4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1,868.4</w:t>
            </w: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written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1,127.9</w:t>
            </w: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w:t>
            </w:r>
          </w:p>
        </w:tc>
        <w:tc>
          <w:tcPr>
            <w:tcW w:w="4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4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1,127.5</w:t>
            </w: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earned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746.5</w:t>
            </w: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w:t>
            </w:r>
            <w:r>
              <w:rPr>
                <w:color w:val="000000"/>
              </w:rPr>
              <w:t> </w:t>
            </w:r>
          </w:p>
        </w:tc>
        <w:tc>
          <w:tcPr>
            <w:tcW w:w="4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4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750.0</w:t>
            </w: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Insurance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and LAE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382.1</w:t>
            </w: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4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44"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382.3</w:t>
            </w: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acquisition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201.3</w:t>
            </w: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w:t>
            </w:r>
            <w:r>
              <w:rPr>
                <w:color w:val="000000"/>
              </w:rPr>
              <w:t> </w:t>
            </w:r>
          </w:p>
        </w:tc>
        <w:tc>
          <w:tcPr>
            <w:tcW w:w="4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202.5</w:t>
            </w: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underwriting expenses </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71.2</w:t>
            </w: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71.2</w:t>
            </w: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insurance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654.6</w:t>
            </w:r>
            <w:r>
              <w:rPr>
                <w:color w:val="000000"/>
              </w:rPr>
              <w:t> </w:t>
            </w:r>
          </w:p>
        </w:tc>
        <w:tc>
          <w:tcPr>
            <w:tcW w:w="3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w:t>
            </w:r>
            <w:r>
              <w:rPr>
                <w:color w:val="000000"/>
              </w:rPr>
              <w:t> </w:t>
            </w:r>
          </w:p>
        </w:tc>
        <w:tc>
          <w:tcPr>
            <w:tcW w:w="46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4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656.0</w:t>
            </w:r>
            <w:r>
              <w:rPr>
                <w:color w:val="000000"/>
              </w:rPr>
              <w:t> </w:t>
            </w:r>
          </w:p>
        </w:tc>
        <w:tc>
          <w:tcPr>
            <w:tcW w:w="3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Insurance ratios: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and LAE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51.2</w:t>
            </w:r>
            <w:r>
              <w:rPr>
                <w:color w:val="000000"/>
              </w:rPr>
              <w:t>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w:t>
            </w:r>
            <w:r>
              <w:rPr>
                <w:color w:val="000000"/>
              </w:rPr>
              <w:t> </w:t>
            </w:r>
          </w:p>
        </w:tc>
        <w:tc>
          <w:tcPr>
            <w:tcW w:w="46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51.0</w:t>
            </w:r>
            <w:r>
              <w:rPr>
                <w:color w:val="000000"/>
              </w:rPr>
              <w:t> </w:t>
            </w:r>
          </w:p>
        </w:tc>
        <w:tc>
          <w:tcPr>
            <w:tcW w:w="34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acquisition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27.0</w:t>
            </w: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34.3</w:t>
            </w:r>
            <w:r>
              <w:rPr>
                <w:color w:val="000000"/>
              </w:rPr>
              <w:t> </w:t>
            </w:r>
          </w:p>
        </w:tc>
        <w:tc>
          <w:tcPr>
            <w:tcW w:w="4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27.0</w:t>
            </w: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underwriting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9.5</w:t>
            </w: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9.5</w:t>
            </w:r>
            <w:r>
              <w:rPr>
                <w:color w:val="000000"/>
              </w:rPr>
              <w:t> </w:t>
            </w:r>
          </w:p>
        </w:tc>
        <w:tc>
          <w:tcPr>
            <w:tcW w:w="3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Combined Ratio</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87.7</w:t>
            </w:r>
            <w:r>
              <w:rPr>
                <w:color w:val="000000"/>
              </w:rPr>
              <w:t> </w:t>
            </w:r>
          </w:p>
        </w:tc>
        <w:tc>
          <w:tcPr>
            <w:tcW w:w="3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40.0</w:t>
            </w:r>
            <w:r>
              <w:rPr>
                <w:color w:val="000000"/>
              </w:rPr>
              <w:t> </w:t>
            </w:r>
          </w:p>
        </w:tc>
        <w:tc>
          <w:tcPr>
            <w:tcW w:w="4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87.5</w:t>
            </w:r>
            <w:r>
              <w:rPr>
                <w:color w:val="000000"/>
              </w:rPr>
              <w:t> </w:t>
            </w:r>
          </w:p>
        </w:tc>
        <w:tc>
          <w:tcPr>
            <w:tcW w:w="3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r>
    </w:tbl>
    <w:p>
      <w:pPr>
        <w:pStyle w:val="TextBody"/>
        <w:bidi w:val="0"/>
        <w:spacing w:lineRule="auto" w:line="288" w:before="0" w:after="0"/>
        <w:ind w:left="0" w:right="0" w:hanging="72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Included within general and administrative expenses in the consolidated statement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8997" w:type="dxa"/>
        <w:jc w:val="center"/>
        <w:tblInd w:w="0" w:type="dxa"/>
        <w:tblLayout w:type="fixed"/>
        <w:tblCellMar>
          <w:top w:w="28" w:type="dxa"/>
          <w:left w:w="28" w:type="dxa"/>
          <w:bottom w:w="28" w:type="dxa"/>
          <w:right w:w="28" w:type="dxa"/>
        </w:tblCellMar>
      </w:tblPr>
      <w:tblGrid>
        <w:gridCol w:w="955"/>
        <w:gridCol w:w="841"/>
        <w:gridCol w:w="844"/>
        <w:gridCol w:w="109"/>
        <w:gridCol w:w="109"/>
        <w:gridCol w:w="109"/>
        <w:gridCol w:w="211"/>
        <w:gridCol w:w="766"/>
        <w:gridCol w:w="271"/>
        <w:gridCol w:w="109"/>
        <w:gridCol w:w="109"/>
        <w:gridCol w:w="109"/>
        <w:gridCol w:w="306"/>
        <w:gridCol w:w="741"/>
        <w:gridCol w:w="393"/>
        <w:gridCol w:w="109"/>
        <w:gridCol w:w="109"/>
        <w:gridCol w:w="109"/>
        <w:gridCol w:w="211"/>
        <w:gridCol w:w="586"/>
        <w:gridCol w:w="271"/>
        <w:gridCol w:w="109"/>
        <w:gridCol w:w="109"/>
        <w:gridCol w:w="109"/>
        <w:gridCol w:w="211"/>
        <w:gridCol w:w="766"/>
        <w:gridCol w:w="316"/>
      </w:tblGrid>
      <w:tr>
        <w:trPr/>
        <w:tc>
          <w:tcPr>
            <w:tcW w:w="955"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2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4782" w:type="dxa"/>
            <w:gridSpan w:val="18"/>
            <w:tcBorders/>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Ark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WM Outrigger 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Insurance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written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1,922.8 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written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1,226.2 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1,306.3 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earned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722.2 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Insurance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and LAE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397.5 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acquisition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underwriting expenses </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insurance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630.0 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39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653.0 </w:t>
            </w:r>
          </w:p>
        </w:tc>
        <w:tc>
          <w:tcPr>
            <w:tcW w:w="3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Insurance ratios: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and LAE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114.7 </w:t>
            </w:r>
          </w:p>
        </w:tc>
        <w:tc>
          <w:tcPr>
            <w:tcW w:w="39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3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acquisition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underwriting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Combined Ratio</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89.5 </w:t>
            </w:r>
          </w:p>
        </w:tc>
        <w:tc>
          <w:tcPr>
            <w:tcW w:w="2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120.4 </w:t>
            </w:r>
          </w:p>
        </w:tc>
        <w:tc>
          <w:tcPr>
            <w:tcW w:w="39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3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72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Included within general and administrative expenses in the consolidated statement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WM Outrigger Re’s insurance premiums, combined ratio and pre-tax income by underwriting year for the six months ended June 30, 2026 and 2025:</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706"/>
        <w:gridCol w:w="619"/>
        <w:gridCol w:w="616"/>
        <w:gridCol w:w="109"/>
        <w:gridCol w:w="109"/>
        <w:gridCol w:w="109"/>
        <w:gridCol w:w="411"/>
        <w:gridCol w:w="822"/>
        <w:gridCol w:w="591"/>
        <w:gridCol w:w="109"/>
        <w:gridCol w:w="109"/>
        <w:gridCol w:w="109"/>
        <w:gridCol w:w="109"/>
        <w:gridCol w:w="109"/>
        <w:gridCol w:w="109"/>
        <w:gridCol w:w="109"/>
        <w:gridCol w:w="386"/>
        <w:gridCol w:w="939"/>
        <w:gridCol w:w="499"/>
        <w:gridCol w:w="109"/>
        <w:gridCol w:w="109"/>
        <w:gridCol w:w="109"/>
        <w:gridCol w:w="374"/>
        <w:gridCol w:w="970"/>
        <w:gridCol w:w="482"/>
        <w:gridCol w:w="109"/>
        <w:gridCol w:w="109"/>
        <w:gridCol w:w="109"/>
        <w:gridCol w:w="211"/>
        <w:gridCol w:w="511"/>
        <w:gridCol w:w="324"/>
      </w:tblGrid>
      <w:tr>
        <w:trPr/>
        <w:tc>
          <w:tcPr>
            <w:tcW w:w="70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19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1" w:type="dxa"/>
            <w:gridSpan w:val="1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3526" w:type="dxa"/>
            <w:gridSpan w:val="12"/>
            <w:tcBorders/>
          </w:tcPr>
          <w:p>
            <w:pPr>
              <w:pStyle w:val="TableContents"/>
              <w:bidi w:val="0"/>
              <w:spacing w:before="0" w:after="283"/>
              <w:jc w:val="left"/>
              <w:rPr>
                <w:sz w:val="4"/>
                <w:szCs w:val="4"/>
              </w:rPr>
            </w:pPr>
            <w:r>
              <w:rPr>
                <w:sz w:val="4"/>
                <w:szCs w:val="4"/>
              </w:rPr>
            </w:r>
          </w:p>
        </w:tc>
      </w:tr>
      <w:tr>
        <w:trPr/>
        <w:tc>
          <w:tcPr>
            <w:tcW w:w="19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6113" w:type="dxa"/>
            <w:gridSpan w:val="22"/>
            <w:tcBorders/>
          </w:tcPr>
          <w:p>
            <w:pPr>
              <w:pStyle w:val="TableContents"/>
              <w:bidi w:val="0"/>
              <w:spacing w:before="0" w:after="283"/>
              <w:jc w:val="left"/>
              <w:rPr>
                <w:sz w:val="4"/>
                <w:szCs w:val="4"/>
              </w:rPr>
            </w:pPr>
            <w:r>
              <w:rPr>
                <w:sz w:val="4"/>
                <w:szCs w:val="4"/>
              </w:rPr>
            </w:r>
          </w:p>
        </w:tc>
      </w:tr>
      <w:tr>
        <w:trPr/>
        <w:tc>
          <w:tcPr>
            <w:tcW w:w="1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26" w:type="dxa"/>
            <w:gridSpan w:val="12"/>
            <w:tcBorders/>
          </w:tcPr>
          <w:p>
            <w:pPr>
              <w:pStyle w:val="TableContents"/>
              <w:bidi w:val="0"/>
              <w:spacing w:before="0" w:after="283"/>
              <w:jc w:val="left"/>
              <w:rPr>
                <w:sz w:val="4"/>
                <w:szCs w:val="4"/>
              </w:rPr>
            </w:pPr>
            <w:r>
              <w:rPr>
                <w:sz w:val="4"/>
                <w:szCs w:val="4"/>
              </w:rPr>
            </w:r>
          </w:p>
        </w:tc>
      </w:tr>
      <w:tr>
        <w:trPr/>
        <w:tc>
          <w:tcPr>
            <w:tcW w:w="1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Underwriting Year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 Underwriting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 Underwriting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9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Insurance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written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w:t>
            </w:r>
          </w:p>
        </w:tc>
        <w:tc>
          <w:tcPr>
            <w:tcW w:w="5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4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80.1 </w:t>
            </w:r>
          </w:p>
        </w:tc>
        <w:tc>
          <w:tcPr>
            <w:tcW w:w="3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written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w:t>
            </w:r>
          </w:p>
        </w:tc>
        <w:tc>
          <w:tcPr>
            <w:tcW w:w="5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77.6 </w:t>
            </w:r>
          </w:p>
        </w:tc>
        <w:tc>
          <w:tcPr>
            <w:tcW w:w="4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80.1 </w:t>
            </w:r>
          </w:p>
        </w:tc>
        <w:tc>
          <w:tcPr>
            <w:tcW w:w="3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earned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2"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w:t>
            </w:r>
            <w:r>
              <w:rPr>
                <w:color w:val="000000"/>
              </w:rPr>
              <w:t> </w:t>
            </w:r>
          </w:p>
        </w:tc>
        <w:tc>
          <w:tcPr>
            <w:tcW w:w="5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49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4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3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Combined 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40.0</w:t>
            </w:r>
            <w:r>
              <w:rPr>
                <w:color w:val="000000"/>
              </w:rPr>
              <w:t> </w:t>
            </w:r>
          </w:p>
        </w:tc>
        <w:tc>
          <w:tcPr>
            <w:tcW w:w="5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49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245.5 </w:t>
            </w:r>
          </w:p>
        </w:tc>
        <w:tc>
          <w:tcPr>
            <w:tcW w:w="48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120.4 </w:t>
            </w:r>
          </w:p>
        </w:tc>
        <w:tc>
          <w:tcPr>
            <w:tcW w:w="32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Pre-tax income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2"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w:t>
            </w:r>
            <w:r>
              <w:rPr>
                <w:color w:val="000000"/>
              </w:rPr>
              <w:t> </w:t>
            </w:r>
          </w:p>
        </w:tc>
        <w:tc>
          <w:tcPr>
            <w:tcW w:w="59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9"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499"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4"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482"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24"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White Mountains’s capital commitments to WM Outrigger Re were $150 million for the 2025 underwriting year, $130 million for the 2024 underwriting year and $205 million for the 2023 underwriting year. Ark renewed Outrigger Re Ltd. for the 2026 underwriting year with $70 million of unaffiliated third-party capital. Ark’s increased use of traditional quota share reinsurance for 2026 reduced the need for capacity from Outrigger Re Ltd.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Through June 30, 2026, WM Outrigger Re has generated pre-tax income of $59 million from the 2025 underwriting year, $29 million from the 2024 underwriting year and $76 million from the 2023 underwriting year.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the first six months of 2026, White Mountains received $145 million of distributions from WM Outrigger Re, primarily a return of capital related to its non-renewal for the 2026 underwriting year. On July 23, 2026, White Mountains received an additional distribution of $77 million. As of July 31, 2026, investments of $46 million were held in the collateral trust account to fund WM Outrigger Re’s remaining obligations under the reinsurance agreements with GAIL for the 2024 and 2025 underwriting years. WM Outrigger Re has loss and LAE reserves outstanding of $28 million as of June 30,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Gross Written Premiums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Ark’s gross written premiums decreased 3% to $1,868 million in the first six months of 2026 compared to $1,923 million in the first six months of 2025, with risk adjusted rate change of -8%. The decline in Ark’s gross written premiums was driven primarily by a change in the timing of recognition of certain delegated authority business. This change had no impact on the timing of recognition of Ark’s earned premiums.</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Ark/WM Outrigger segment’s gross written premiums by line of business for the six months ended June 30, 2026 and 2025:</w:t>
      </w:r>
    </w:p>
    <w:tbl>
      <w:tblPr>
        <w:tblW w:w="6194" w:type="dxa"/>
        <w:jc w:val="center"/>
        <w:tblInd w:w="0" w:type="dxa"/>
        <w:tblLayout w:type="fixed"/>
        <w:tblCellMar>
          <w:top w:w="28" w:type="dxa"/>
          <w:left w:w="28" w:type="dxa"/>
          <w:bottom w:w="28" w:type="dxa"/>
          <w:right w:w="28" w:type="dxa"/>
        </w:tblCellMar>
      </w:tblPr>
      <w:tblGrid>
        <w:gridCol w:w="958"/>
        <w:gridCol w:w="839"/>
        <w:gridCol w:w="857"/>
        <w:gridCol w:w="109"/>
        <w:gridCol w:w="109"/>
        <w:gridCol w:w="109"/>
        <w:gridCol w:w="211"/>
        <w:gridCol w:w="781"/>
        <w:gridCol w:w="109"/>
        <w:gridCol w:w="109"/>
        <w:gridCol w:w="109"/>
        <w:gridCol w:w="109"/>
        <w:gridCol w:w="211"/>
        <w:gridCol w:w="766"/>
        <w:gridCol w:w="109"/>
        <w:gridCol w:w="109"/>
        <w:gridCol w:w="109"/>
        <w:gridCol w:w="109"/>
        <w:gridCol w:w="109"/>
        <w:gridCol w:w="109"/>
        <w:gridCol w:w="154"/>
      </w:tblGrid>
      <w:tr>
        <w:trPr/>
        <w:tc>
          <w:tcPr>
            <w:tcW w:w="958"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858.5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472.7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Marine &amp; Energy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343.2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Casualty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Accident &amp; Health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93.9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Gross Written Premium</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1,868.4</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1,922.8 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144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Ark’s Book Value and Tangible Book Value</w:t>
      </w:r>
    </w:p>
    <w:p>
      <w:pPr>
        <w:pStyle w:val="TextBody"/>
        <w:bidi w:val="0"/>
        <w:spacing w:lineRule="auto" w:line="288" w:before="0" w:after="0"/>
        <w:jc w:val="left"/>
        <w:rPr/>
      </w:pPr>
      <w:r>
        <w:rPr>
          <w:rFonts w:ascii="Times New Roman;serif" w:hAnsi="Times New Roman;serif"/>
          <w:b w:val="false"/>
          <w:color w:val="000000"/>
          <w:sz w:val="20"/>
        </w:rPr>
        <w:t xml:space="preserve">Ark reported book value of $1,615 million as of June 30, 2026, an increase of 4% in the second quarter of 2026 and 5% in the first six months of 2026, including dividends. Ark reported tangible book value of $1,736 million as of June 30, 2026, an increase of 6% in the second quarter of 2026 and 7% in the first six months of 2026, including dividends. Ark’s book value includes goodwill and other intangible assets, net of tax, and White Mountains’s contingent consideration liability, which are excluded from Ark’s tangible book value. See </w:t>
      </w:r>
      <w:r>
        <w:rPr>
          <w:color w:val="000000"/>
        </w:rPr>
        <w:t>“</w:t>
      </w:r>
      <w:r>
        <w:rPr>
          <w:rFonts w:ascii="Times New Roman;serif" w:hAnsi="Times New Roman;serif"/>
          <w:b/>
          <w:color w:val="000000"/>
          <w:sz w:val="20"/>
        </w:rPr>
        <w:t>NON-GAAP FINANCIAL MEASURES”</w:t>
      </w:r>
      <w:r>
        <w:rPr>
          <w:color w:val="000000"/>
        </w:rPr>
        <w:t xml:space="preserve"> </w:t>
      </w:r>
      <w:r>
        <w:rPr>
          <w:rFonts w:ascii="Times New Roman;serif" w:hAnsi="Times New Roman;serif"/>
          <w:b w:val="false"/>
          <w:color w:val="000000"/>
          <w:sz w:val="20"/>
        </w:rPr>
        <w:t>on page </w:t>
      </w:r>
      <w:hyperlink w:anchor="if3b6a78c08cc435986c2cd9f5808536f_190">
        <w:r>
          <w:rPr>
            <w:rStyle w:val="InternetLink"/>
            <w:rFonts w:ascii="Times New Roman;serif" w:hAnsi="Times New Roman;serif"/>
            <w:b w:val="false"/>
            <w:strike w:val="false"/>
            <w:dstrike w:val="false"/>
            <w:color w:val="000000"/>
            <w:sz w:val="20"/>
            <w:u w:val="none"/>
            <w:effect w:val="none"/>
          </w:rPr>
          <w:t>87</w:t>
        </w:r>
      </w:hyperlink>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Ark/WM Outrigger Balance Sheets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amounts from Ark and WM Outrigger Re that are contained within White Mountains’s consolidated balance sheets as of June 30, 2026 and December 31, 2025:</w:t>
      </w:r>
    </w:p>
    <w:tbl>
      <w:tblPr>
        <w:tblW w:w="10205" w:type="dxa"/>
        <w:jc w:val="left"/>
        <w:tblInd w:w="0" w:type="dxa"/>
        <w:tblLayout w:type="fixed"/>
        <w:tblCellMar>
          <w:top w:w="28" w:type="dxa"/>
          <w:left w:w="28" w:type="dxa"/>
          <w:bottom w:w="28" w:type="dxa"/>
          <w:right w:w="28" w:type="dxa"/>
        </w:tblCellMar>
      </w:tblPr>
      <w:tblGrid>
        <w:gridCol w:w="1201"/>
        <w:gridCol w:w="980"/>
        <w:gridCol w:w="989"/>
        <w:gridCol w:w="109"/>
        <w:gridCol w:w="109"/>
        <w:gridCol w:w="109"/>
        <w:gridCol w:w="211"/>
        <w:gridCol w:w="781"/>
        <w:gridCol w:w="109"/>
        <w:gridCol w:w="109"/>
        <w:gridCol w:w="109"/>
        <w:gridCol w:w="109"/>
        <w:gridCol w:w="279"/>
        <w:gridCol w:w="836"/>
        <w:gridCol w:w="144"/>
        <w:gridCol w:w="109"/>
        <w:gridCol w:w="109"/>
        <w:gridCol w:w="109"/>
        <w:gridCol w:w="551"/>
        <w:gridCol w:w="1378"/>
        <w:gridCol w:w="288"/>
        <w:gridCol w:w="109"/>
        <w:gridCol w:w="109"/>
        <w:gridCol w:w="109"/>
        <w:gridCol w:w="211"/>
        <w:gridCol w:w="781"/>
        <w:gridCol w:w="158"/>
      </w:tblGrid>
      <w:tr>
        <w:trPr/>
        <w:tc>
          <w:tcPr>
            <w:tcW w:w="1201"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bookmarkStart w:id="3" w:name="i86790a67c9954aa8aa0cac69d73ed26b_0-0-36"/>
            <w:bookmarkStart w:id="4" w:name="i86790a67c9954aa8aa0cac69d73ed26b_0-0-36"/>
            <w:bookmarkEnd w:id="4"/>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3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Ark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WM Outrigger 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Eliminations and Segment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investments, at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2,011.9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7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2,011.9</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equity securities, at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407.7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407.7</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 at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414.3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122.6</w:t>
            </w: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536.9</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769.0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769.0</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3,602.9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122.6</w:t>
            </w:r>
            <w:r>
              <w:rPr>
                <w:color w:val="000000"/>
              </w:rPr>
              <w:t>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3,725.5</w:t>
            </w:r>
            <w:r>
              <w:rPr>
                <w:color w:val="000000"/>
              </w:rPr>
              <w:t>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91.5</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Reinsurance recoverables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1,421.6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(27.6)</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1,394.0</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premiums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1,473.2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(3.7)</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w:t>
            </w:r>
            <w:r>
              <w:rPr>
                <w:color w:val="000000"/>
              </w:rPr>
              <w:t>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1,473.2</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acquisition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327.9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327.9</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other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292.5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292.5</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265.6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265.6</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7,475.2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118.9</w:t>
            </w:r>
            <w:r>
              <w:rPr>
                <w:color w:val="000000"/>
              </w:rPr>
              <w:t>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(23.9)</w:t>
            </w:r>
          </w:p>
        </w:tc>
        <w:tc>
          <w:tcPr>
            <w:tcW w:w="2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7,570.2</w:t>
            </w:r>
            <w:r>
              <w:rPr>
                <w:color w:val="000000"/>
              </w:rPr>
              <w:t>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and LAE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2,623.8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27.6</w:t>
            </w: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(27.6)</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2,623.8</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insurance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1,860.4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1,860.4</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159.0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159.0</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Reinsurance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639.1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w:t>
            </w:r>
            <w:r>
              <w:rPr>
                <w:color w:val="000000"/>
              </w:rPr>
              <w:t>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642.8</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370.0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370.0</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liabilities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207.9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208.0</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5,860.2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27.7</w:t>
            </w:r>
            <w:r>
              <w:rPr>
                <w:color w:val="000000"/>
              </w:rPr>
              <w:t>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(23.9)</w:t>
            </w:r>
          </w:p>
        </w:tc>
        <w:tc>
          <w:tcPr>
            <w:tcW w:w="2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5,864.0</w:t>
            </w:r>
            <w:r>
              <w:rPr>
                <w:color w:val="000000"/>
              </w:rPr>
              <w:t>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White Mountains’s common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1,143.5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91.2</w:t>
            </w: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1,234.7</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471.5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471.5</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1,615.0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91.2</w:t>
            </w:r>
            <w:r>
              <w:rPr>
                <w:color w:val="000000"/>
              </w:rPr>
              <w:t>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1,706.2</w:t>
            </w:r>
            <w:r>
              <w:rPr>
                <w:color w:val="000000"/>
              </w:rPr>
              <w:t>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7,475.2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118.9</w:t>
            </w:r>
            <w:r>
              <w:rPr>
                <w:color w:val="000000"/>
              </w:rPr>
              <w:t>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7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(23.9)</w:t>
            </w:r>
          </w:p>
        </w:tc>
        <w:tc>
          <w:tcPr>
            <w:tcW w:w="2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7,570.2</w:t>
            </w:r>
            <w:r>
              <w:rPr>
                <w:color w:val="000000"/>
              </w:rPr>
              <w:t>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Tangible book value and tangible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1,615.0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6"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91.2</w:t>
            </w: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7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1,706.2</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Less: goodwill and other intangible assets, net </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(248.6)</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0"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Plus: contingent 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370.0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370.0</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tangible book value</w:t>
            </w:r>
            <w:r>
              <w:rPr>
                <w:color w:val="000000"/>
              </w:rPr>
              <w:t xml:space="preserve"> </w:t>
            </w:r>
            <w:r>
              <w:rPr>
                <w:rFonts w:ascii="Times New Roman;serif" w:hAnsi="Times New Roman;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1,736.4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91.2</w:t>
            </w:r>
            <w:r>
              <w:rPr>
                <w:color w:val="000000"/>
              </w:rPr>
              <w:t> </w:t>
            </w:r>
          </w:p>
        </w:tc>
        <w:tc>
          <w:tcPr>
            <w:tcW w:w="1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1,827.6</w:t>
            </w:r>
            <w:r>
              <w:rPr>
                <w:color w:val="000000"/>
              </w:rPr>
              <w:t>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0"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Plus: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159.0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159.0</w:t>
            </w: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0"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tangible capital </w:t>
            </w:r>
            <w:r>
              <w:rPr>
                <w:rFonts w:ascii="Times New Roman;serif" w:hAnsi="Times New Roman;serif"/>
                <w:b w:val="false"/>
                <w:color w:val="000000"/>
                <w:sz w:val="10"/>
              </w:rPr>
              <w:t>(2)</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1,895.4</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91.2</w:t>
            </w:r>
            <w:r>
              <w:rPr>
                <w:color w:val="000000"/>
              </w:rPr>
              <w:t> </w:t>
            </w:r>
          </w:p>
        </w:tc>
        <w:tc>
          <w:tcPr>
            <w:tcW w:w="1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7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1,986.6</w:t>
            </w:r>
            <w:r>
              <w:rPr>
                <w:color w:val="000000"/>
              </w:rPr>
              <w:t> </w:t>
            </w:r>
          </w:p>
        </w:tc>
        <w:tc>
          <w:tcPr>
            <w:tcW w:w="1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Amount is net of $43.9 in deferred tax liabilities related to the other intangible assets.</w:t>
      </w:r>
    </w:p>
    <w:p>
      <w:pPr>
        <w:pStyle w:val="TextBody"/>
        <w:bidi w:val="0"/>
        <w:spacing w:lineRule="auto" w:line="288" w:before="0" w:after="0"/>
        <w:ind w:left="0" w:right="0" w:hanging="180"/>
        <w:jc w:val="left"/>
        <w:rPr/>
      </w:pPr>
      <w:r>
        <w:rPr>
          <w:rFonts w:ascii="Times New Roman;serif" w:hAnsi="Times New Roman;serif"/>
          <w:b w:val="false"/>
          <w:color w:val="000000"/>
          <w:sz w:val="10"/>
        </w:rPr>
        <w:t xml:space="preserve">(2) </w:t>
      </w:r>
      <w:r>
        <w:rPr>
          <w:rFonts w:ascii="Times New Roman;serif" w:hAnsi="Times New Roman;serif"/>
          <w:b w:val="false"/>
          <w:color w:val="000000"/>
          <w:sz w:val="16"/>
        </w:rPr>
        <w:t xml:space="preserve">See </w:t>
      </w:r>
      <w:r>
        <w:rPr>
          <w:color w:val="000000"/>
        </w:rPr>
        <w:t>“</w:t>
      </w:r>
      <w:r>
        <w:rPr>
          <w:rFonts w:ascii="Times New Roman;serif" w:hAnsi="Times New Roman;serif"/>
          <w:b/>
          <w:color w:val="000000"/>
          <w:sz w:val="16"/>
        </w:rPr>
        <w:t>NON-GAAP FINANCIAL MEASURES”</w:t>
      </w:r>
      <w:r>
        <w:rPr>
          <w:color w:val="000000"/>
        </w:rPr>
        <w:t xml:space="preserve"> </w:t>
      </w:r>
      <w:r>
        <w:rPr>
          <w:rFonts w:ascii="Times New Roman;serif" w:hAnsi="Times New Roman;serif"/>
          <w:b w:val="false"/>
          <w:color w:val="000000"/>
          <w:sz w:val="16"/>
        </w:rPr>
        <w:t>on page </w:t>
      </w:r>
      <w:hyperlink w:anchor="if3b6a78c08cc435986c2cd9f5808536f_190">
        <w:r>
          <w:rPr>
            <w:rStyle w:val="InternetLink"/>
            <w:rFonts w:ascii="Times New Roman;serif" w:hAnsi="Times New Roman;serif"/>
            <w:b w:val="false"/>
            <w:strike w:val="false"/>
            <w:dstrike w:val="false"/>
            <w:color w:val="000000"/>
            <w:sz w:val="16"/>
            <w:u w:val="none"/>
            <w:effect w:val="none"/>
          </w:rPr>
          <w:t>87</w:t>
        </w:r>
      </w:hyperlink>
      <w:r>
        <w:rPr>
          <w:rFonts w:ascii="Times New Roman;serif" w:hAnsi="Times New Roman;serif"/>
          <w:b w:val="false"/>
          <w:color w:val="000000"/>
          <w:sz w:val="16"/>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07"/>
        <w:gridCol w:w="987"/>
        <w:gridCol w:w="995"/>
        <w:gridCol w:w="109"/>
        <w:gridCol w:w="109"/>
        <w:gridCol w:w="109"/>
        <w:gridCol w:w="211"/>
        <w:gridCol w:w="766"/>
        <w:gridCol w:w="109"/>
        <w:gridCol w:w="109"/>
        <w:gridCol w:w="109"/>
        <w:gridCol w:w="109"/>
        <w:gridCol w:w="283"/>
        <w:gridCol w:w="828"/>
        <w:gridCol w:w="146"/>
        <w:gridCol w:w="109"/>
        <w:gridCol w:w="109"/>
        <w:gridCol w:w="109"/>
        <w:gridCol w:w="554"/>
        <w:gridCol w:w="1386"/>
        <w:gridCol w:w="290"/>
        <w:gridCol w:w="109"/>
        <w:gridCol w:w="109"/>
        <w:gridCol w:w="109"/>
        <w:gridCol w:w="211"/>
        <w:gridCol w:w="766"/>
        <w:gridCol w:w="158"/>
      </w:tblGrid>
      <w:tr>
        <w:trPr/>
        <w:tc>
          <w:tcPr>
            <w:tcW w:w="120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1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Ark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WM Outrigger 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Eliminations and Segment Adjustments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investments, at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1,917.9 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equity securities, at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452.3 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 at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866.6 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689.7 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3,680.8 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245.7 </w:t>
            </w:r>
          </w:p>
        </w:tc>
        <w:tc>
          <w:tcPr>
            <w:tcW w:w="1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3,926.5 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Reinsurance recoverables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836.1 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premiums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848.4 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acquisition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211.1 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and other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292.5 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6,146.2 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270.4 </w:t>
            </w:r>
          </w:p>
        </w:tc>
        <w:tc>
          <w:tcPr>
            <w:tcW w:w="1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w:t>
            </w:r>
          </w:p>
        </w:tc>
        <w:tc>
          <w:tcPr>
            <w:tcW w:w="2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6,354.1 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and LAE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2,481.0 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insurance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1,026.1 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Reinsurance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286.2 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328.3 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247.2 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4,552.3 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w:t>
            </w:r>
          </w:p>
        </w:tc>
        <w:tc>
          <w:tcPr>
            <w:tcW w:w="2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4,528.5 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White Mountains’s common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231.7 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1,360.4 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465.2 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231.7 </w:t>
            </w:r>
          </w:p>
        </w:tc>
        <w:tc>
          <w:tcPr>
            <w:tcW w:w="1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1,825.6 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6,146.2 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270.4 </w:t>
            </w:r>
          </w:p>
        </w:tc>
        <w:tc>
          <w:tcPr>
            <w:tcW w:w="1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w:t>
            </w:r>
          </w:p>
        </w:tc>
        <w:tc>
          <w:tcPr>
            <w:tcW w:w="2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6,354.1 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Tangible book value and tangible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231.7 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1,825.6 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Less: goodwill and other intangible assets, net </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(248.6)</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Plus: contingent 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328.3 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tangible book value</w:t>
            </w:r>
            <w:r>
              <w:rPr>
                <w:color w:val="000000"/>
              </w:rPr>
              <w:t xml:space="preserve"> </w:t>
            </w:r>
            <w:r>
              <w:rPr>
                <w:rFonts w:ascii="Times New Roman;serif" w:hAnsi="Times New Roman;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231.7 </w:t>
            </w:r>
          </w:p>
        </w:tc>
        <w:tc>
          <w:tcPr>
            <w:tcW w:w="14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1,905.3 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Plus: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9"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tangible capital </w:t>
            </w:r>
            <w:r>
              <w:rPr>
                <w:rFonts w:ascii="Times New Roman;serif" w:hAnsi="Times New Roman;serif"/>
                <w:b w:val="false"/>
                <w:color w:val="000000"/>
                <w:sz w:val="10"/>
              </w:rPr>
              <w:t>(2)</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231.7 </w:t>
            </w:r>
          </w:p>
        </w:tc>
        <w:tc>
          <w:tcPr>
            <w:tcW w:w="1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9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2,065.0 </w:t>
            </w:r>
          </w:p>
        </w:tc>
        <w:tc>
          <w:tcPr>
            <w:tcW w:w="1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18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Amount is net of $43.9 in deferred tax liabilities related to the other intangible assets.</w:t>
      </w:r>
    </w:p>
    <w:p>
      <w:pPr>
        <w:pStyle w:val="TextBody"/>
        <w:bidi w:val="0"/>
        <w:spacing w:lineRule="auto" w:line="288" w:before="0" w:after="0"/>
        <w:jc w:val="left"/>
        <w:rPr/>
      </w:pPr>
      <w:r>
        <w:rPr>
          <w:rFonts w:ascii="Times New Roman;serif" w:hAnsi="Times New Roman;serif"/>
          <w:b w:val="false"/>
          <w:color w:val="000000"/>
          <w:sz w:val="10"/>
        </w:rPr>
        <w:t xml:space="preserve">(2) </w:t>
      </w:r>
      <w:r>
        <w:rPr>
          <w:rFonts w:ascii="Times New Roman;serif" w:hAnsi="Times New Roman;serif"/>
          <w:b w:val="false"/>
          <w:color w:val="000000"/>
          <w:sz w:val="16"/>
        </w:rPr>
        <w:t xml:space="preserve">See </w:t>
      </w:r>
      <w:r>
        <w:rPr>
          <w:color w:val="000000"/>
        </w:rPr>
        <w:t>“</w:t>
      </w:r>
      <w:r>
        <w:rPr>
          <w:rFonts w:ascii="Times New Roman;serif" w:hAnsi="Times New Roman;serif"/>
          <w:b/>
          <w:color w:val="000000"/>
          <w:sz w:val="16"/>
        </w:rPr>
        <w:t>NON-GAAP FINANCIAL MEASURES”</w:t>
      </w:r>
      <w:r>
        <w:rPr>
          <w:color w:val="000000"/>
        </w:rPr>
        <w:t xml:space="preserve"> </w:t>
      </w:r>
      <w:r>
        <w:rPr>
          <w:rFonts w:ascii="Times New Roman;serif" w:hAnsi="Times New Roman;serif"/>
          <w:b w:val="false"/>
          <w:color w:val="000000"/>
          <w:sz w:val="16"/>
        </w:rPr>
        <w:t>on page </w:t>
      </w:r>
      <w:hyperlink w:anchor="if3b6a78c08cc435986c2cd9f5808536f_190">
        <w:r>
          <w:rPr>
            <w:rStyle w:val="InternetLink"/>
            <w:rFonts w:ascii="Times New Roman;serif" w:hAnsi="Times New Roman;serif"/>
            <w:b w:val="false"/>
            <w:strike w:val="false"/>
            <w:dstrike w:val="false"/>
            <w:color w:val="000000"/>
            <w:sz w:val="16"/>
            <w:u w:val="none"/>
            <w:effect w:val="none"/>
          </w:rPr>
          <w:t>87</w:t>
        </w:r>
      </w:hyperlink>
      <w:r>
        <w:rPr>
          <w:rFonts w:ascii="Times New Roman;serif" w:hAnsi="Times New Roman;serif"/>
          <w:b w:val="false"/>
          <w:color w:val="000000"/>
          <w:sz w:val="16"/>
        </w:rPr>
        <w:t>.</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Kudu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Kudu provides capital solutions for boutique asset and wealth managers for a variety of purposes including generational ownership transfers, management buyouts, acquisition and growth finance and legacy partner liquidity. Kudu also provides strategic advice to managers from time to time.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Kudu deployed a total of $36 million, including transaction costs, into two new asset management firms in 2026. As of June 30, 2026, Kudu had deployed a total of $1.2 billion, including transaction costs, into 32 asset and wealth management firms globally, including three that have been exited. As of June 30, 2026, the asset and wealth management firms have combined assets under management of approximately $164 billion, spanning a range of asset classes, including real estate, real assets, wealth management, hedge funds, private equity and alternative credit strategies. Since inception, Kudu’s capital was deployed at an initial average gross cash yield at inception of approximately 9.3% based on expected cash flows in the first year following deployment.</w:t>
      </w:r>
    </w:p>
    <w:p>
      <w:pPr>
        <w:pStyle w:val="TextBody"/>
        <w:bidi w:val="0"/>
        <w:spacing w:lineRule="auto" w:line="288" w:before="0" w:after="0"/>
        <w:jc w:val="left"/>
        <w:rPr>
          <w:rFonts w:ascii="Times New Roman;serif" w:hAnsi="Times New Roman;serif"/>
          <w:b w:val="false"/>
          <w:color w:val="000000"/>
          <w:sz w:val="20"/>
        </w:rPr>
      </w:pPr>
      <w:bookmarkStart w:id="5" w:name="icd52ce4794f14363bd5284eb12ac4113_3177"/>
      <w:bookmarkEnd w:id="5"/>
      <w:r>
        <w:rPr>
          <w:rFonts w:ascii="Times New Roman;serif" w:hAnsi="Times New Roman;serif"/>
          <w:b w:val="false"/>
          <w:color w:val="000000"/>
          <w:sz w:val="20"/>
        </w:rPr>
        <w:t>The following table presents the components of GAAP net income (loss), EBITDA and adjusted EBITDA included in the Kudu segment for the three and six months ended June 30, 2026 and 2025:</w:t>
      </w:r>
    </w:p>
    <w:tbl>
      <w:tblPr>
        <w:tblW w:w="9436" w:type="dxa"/>
        <w:jc w:val="center"/>
        <w:tblInd w:w="0" w:type="dxa"/>
        <w:tblLayout w:type="fixed"/>
        <w:tblCellMar>
          <w:top w:w="28" w:type="dxa"/>
          <w:left w:w="28" w:type="dxa"/>
          <w:bottom w:w="28" w:type="dxa"/>
          <w:right w:w="28" w:type="dxa"/>
        </w:tblCellMar>
      </w:tblPr>
      <w:tblGrid>
        <w:gridCol w:w="1594"/>
        <w:gridCol w:w="1402"/>
        <w:gridCol w:w="1413"/>
        <w:gridCol w:w="109"/>
        <w:gridCol w:w="109"/>
        <w:gridCol w:w="109"/>
        <w:gridCol w:w="238"/>
        <w:gridCol w:w="594"/>
        <w:gridCol w:w="123"/>
        <w:gridCol w:w="123"/>
        <w:gridCol w:w="123"/>
        <w:gridCol w:w="123"/>
        <w:gridCol w:w="238"/>
        <w:gridCol w:w="577"/>
        <w:gridCol w:w="123"/>
        <w:gridCol w:w="109"/>
        <w:gridCol w:w="109"/>
        <w:gridCol w:w="109"/>
        <w:gridCol w:w="217"/>
        <w:gridCol w:w="543"/>
        <w:gridCol w:w="112"/>
        <w:gridCol w:w="112"/>
        <w:gridCol w:w="112"/>
        <w:gridCol w:w="112"/>
        <w:gridCol w:w="217"/>
        <w:gridCol w:w="527"/>
        <w:gridCol w:w="159"/>
      </w:tblGrid>
      <w:tr>
        <w:trPr/>
        <w:tc>
          <w:tcPr>
            <w:tcW w:w="1594"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investment income </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19.0</w:t>
            </w:r>
            <w:r>
              <w:rPr>
                <w:color w:val="000000"/>
              </w:rPr>
              <w:t>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39.8</w:t>
            </w:r>
            <w:r>
              <w:rPr>
                <w:color w:val="000000"/>
              </w:rPr>
              <w:t>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and unrealized investment 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49.7</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91.7</w:t>
            </w: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68.9</w:t>
            </w:r>
            <w:r>
              <w:rPr>
                <w:color w:val="000000"/>
              </w:rPr>
              <w:t>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131.9</w:t>
            </w:r>
            <w:r>
              <w:rPr>
                <w:color w:val="000000"/>
              </w:rPr>
              <w:t>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8.9</w:t>
            </w: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14.3</w:t>
            </w: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11.9</w:t>
            </w:r>
            <w:r>
              <w:rPr>
                <w:color w:val="000000"/>
              </w:rPr>
              <w:t>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23.2</w:t>
            </w:r>
            <w:r>
              <w:rPr>
                <w:color w:val="000000"/>
              </w:rPr>
              <w:t>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pre-tax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57.0</w:t>
            </w:r>
            <w:r>
              <w:rPr>
                <w:color w:val="000000"/>
              </w:rPr>
              <w:t>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108.7</w:t>
            </w:r>
            <w:r>
              <w:rPr>
                <w:color w:val="000000"/>
              </w:rPr>
              <w:t>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(15.0)</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(28.8)</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42.0</w:t>
            </w:r>
            <w:r>
              <w:rPr>
                <w:color w:val="000000"/>
              </w:rPr>
              <w:t>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79.9</w:t>
            </w:r>
            <w:r>
              <w:rPr>
                <w:color w:val="000000"/>
              </w:rPr>
              <w:t>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14.3</w:t>
            </w: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15.0</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28.8</w:t>
            </w: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other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EBITDA </w:t>
            </w:r>
            <w:r>
              <w:rPr>
                <w:rFonts w:ascii="Times New Roman;serif" w:hAnsi="Times New Roman;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64.3</w:t>
            </w:r>
            <w:r>
              <w:rPr>
                <w:color w:val="000000"/>
              </w:rPr>
              <w:t>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123.2</w:t>
            </w:r>
            <w:r>
              <w:rPr>
                <w:color w:val="000000"/>
              </w:rPr>
              <w:t>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Exclude: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and unrealized investment (gains)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(49.7)</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(91.7)</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w:t>
            </w: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0"/>
              <w:ind w:left="0" w:right="0" w:hanging="90"/>
              <w:jc w:val="left"/>
              <w:rPr/>
            </w:pPr>
            <w:r>
              <w:rPr>
                <w:color w:val="000000"/>
              </w:rPr>
              <w:t>   </w:t>
            </w:r>
            <w:r>
              <w:rPr>
                <w:rFonts w:ascii="Times New Roman;serif" w:hAnsi="Times New Roman;serif"/>
                <w:b w:val="false"/>
                <w:color w:val="000000"/>
                <w:sz w:val="20"/>
              </w:rPr>
              <w:t xml:space="preserve">Adjusted EBITDA </w:t>
            </w:r>
            <w:r>
              <w:rPr>
                <w:rFonts w:ascii="Times New Roman;serif" w:hAnsi="Times New Roman;serif"/>
                <w:b w:val="false"/>
                <w:color w:val="000000"/>
                <w:sz w:val="10"/>
              </w:rPr>
              <w:t>(2)</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15.7</w:t>
            </w:r>
            <w:r>
              <w:rPr>
                <w:color w:val="000000"/>
              </w:rPr>
              <w:t> </w:t>
            </w:r>
          </w:p>
        </w:tc>
        <w:tc>
          <w:tcPr>
            <w:tcW w:w="1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32.6</w:t>
            </w:r>
            <w:r>
              <w:rPr>
                <w:color w:val="000000"/>
              </w:rPr>
              <w:t> </w:t>
            </w:r>
          </w:p>
        </w:tc>
        <w:tc>
          <w:tcPr>
            <w:tcW w:w="1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18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Net investment income includes revenues from Participation Contracts and income from short-term and other long-term investments.</w:t>
      </w:r>
    </w:p>
    <w:p>
      <w:pPr>
        <w:pStyle w:val="TextBody"/>
        <w:bidi w:val="0"/>
        <w:spacing w:lineRule="auto" w:line="288" w:before="0" w:after="0"/>
        <w:ind w:left="0" w:right="0" w:firstLine="180"/>
        <w:jc w:val="left"/>
        <w:rPr/>
      </w:pPr>
      <w:r>
        <w:rPr>
          <w:rFonts w:ascii="Times New Roman;serif" w:hAnsi="Times New Roman;serif"/>
          <w:b w:val="false"/>
          <w:color w:val="000000"/>
          <w:sz w:val="10"/>
        </w:rPr>
        <w:t xml:space="preserve">(2) </w:t>
      </w:r>
      <w:r>
        <w:rPr>
          <w:rFonts w:ascii="Times New Roman;serif" w:hAnsi="Times New Roman;serif"/>
          <w:b w:val="false"/>
          <w:color w:val="000000"/>
          <w:sz w:val="16"/>
        </w:rPr>
        <w:t xml:space="preserve">See </w:t>
      </w:r>
      <w:r>
        <w:rPr>
          <w:color w:val="000000"/>
        </w:rPr>
        <w:t>“</w:t>
      </w:r>
      <w:r>
        <w:rPr>
          <w:rFonts w:ascii="Times New Roman;serif" w:hAnsi="Times New Roman;serif"/>
          <w:b/>
          <w:color w:val="000000"/>
          <w:sz w:val="16"/>
        </w:rPr>
        <w:t>NON-GAAP FINANCIAL MEASURES”</w:t>
      </w:r>
      <w:r>
        <w:rPr>
          <w:color w:val="000000"/>
        </w:rPr>
        <w:t xml:space="preserve"> </w:t>
      </w:r>
      <w:r>
        <w:rPr>
          <w:rFonts w:ascii="Times New Roman;serif" w:hAnsi="Times New Roman;serif"/>
          <w:b w:val="false"/>
          <w:color w:val="000000"/>
          <w:sz w:val="16"/>
        </w:rPr>
        <w:t>on page </w:t>
      </w:r>
      <w:hyperlink w:anchor="if3b6a78c08cc435986c2cd9f5808536f_190">
        <w:r>
          <w:rPr>
            <w:rStyle w:val="InternetLink"/>
            <w:rFonts w:ascii="Times New Roman;serif" w:hAnsi="Times New Roman;serif"/>
            <w:b w:val="false"/>
            <w:strike w:val="false"/>
            <w:dstrike w:val="false"/>
            <w:color w:val="000000"/>
            <w:sz w:val="16"/>
            <w:u w:val="none"/>
            <w:effect w:val="none"/>
          </w:rPr>
          <w:t>87</w:t>
        </w:r>
      </w:hyperlink>
      <w:r>
        <w:rPr>
          <w:rFonts w:ascii="Times New Roman;serif" w:hAnsi="Times New Roman;serif"/>
          <w:b w:val="false"/>
          <w:color w:val="000000"/>
          <w:sz w:val="16"/>
        </w:rPr>
        <w:t>.</w:t>
      </w:r>
    </w:p>
    <w:p>
      <w:pPr>
        <w:pStyle w:val="TextBody"/>
        <w:bidi w:val="0"/>
        <w:spacing w:before="0" w:after="0"/>
        <w:ind w:left="0" w:right="0" w:firstLine="9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changes to the fair value of Kudu’s Participation Contracts for the three and six months ended June 30, 2026 and 2025:</w:t>
      </w:r>
    </w:p>
    <w:tbl>
      <w:tblPr>
        <w:tblW w:w="10205" w:type="dxa"/>
        <w:jc w:val="center"/>
        <w:tblInd w:w="0" w:type="dxa"/>
        <w:tblLayout w:type="fixed"/>
        <w:tblCellMar>
          <w:top w:w="28" w:type="dxa"/>
          <w:left w:w="28" w:type="dxa"/>
          <w:bottom w:w="28" w:type="dxa"/>
          <w:right w:w="28" w:type="dxa"/>
        </w:tblCellMar>
      </w:tblPr>
      <w:tblGrid>
        <w:gridCol w:w="1605"/>
        <w:gridCol w:w="1374"/>
        <w:gridCol w:w="1389"/>
        <w:gridCol w:w="109"/>
        <w:gridCol w:w="109"/>
        <w:gridCol w:w="109"/>
        <w:gridCol w:w="211"/>
        <w:gridCol w:w="781"/>
        <w:gridCol w:w="109"/>
        <w:gridCol w:w="109"/>
        <w:gridCol w:w="109"/>
        <w:gridCol w:w="109"/>
        <w:gridCol w:w="211"/>
        <w:gridCol w:w="766"/>
        <w:gridCol w:w="109"/>
        <w:gridCol w:w="109"/>
        <w:gridCol w:w="109"/>
        <w:gridCol w:w="109"/>
        <w:gridCol w:w="211"/>
        <w:gridCol w:w="781"/>
        <w:gridCol w:w="109"/>
        <w:gridCol w:w="109"/>
        <w:gridCol w:w="109"/>
        <w:gridCol w:w="109"/>
        <w:gridCol w:w="211"/>
        <w:gridCol w:w="766"/>
        <w:gridCol w:w="109"/>
        <w:gridCol w:w="155"/>
      </w:tblGrid>
      <w:tr>
        <w:trPr/>
        <w:tc>
          <w:tcPr>
            <w:tcW w:w="1605"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55" w:type="dxa"/>
            <w:tcBorders/>
            <w:vAlign w:val="center"/>
          </w:tcPr>
          <w:p>
            <w:pPr>
              <w:pStyle w:val="TableContents"/>
              <w:bidi w:val="0"/>
              <w:spacing w:before="0" w:after="283"/>
              <w:jc w:val="left"/>
              <w:rPr>
                <w:sz w:val="4"/>
                <w:szCs w:val="4"/>
              </w:rPr>
            </w:pPr>
            <w:r>
              <w:rPr>
                <w:sz w:val="4"/>
                <w:szCs w:val="4"/>
              </w:rPr>
            </w:r>
          </w:p>
        </w:tc>
      </w:tr>
      <w:tr>
        <w:trPr/>
        <w:tc>
          <w:tcPr>
            <w:tcW w:w="43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55" w:type="dxa"/>
            <w:tcBorders/>
            <w:vAlign w:val="center"/>
          </w:tcPr>
          <w:p>
            <w:pPr>
              <w:pStyle w:val="TableContents"/>
              <w:bidi w:val="0"/>
              <w:spacing w:before="0" w:after="283"/>
              <w:jc w:val="left"/>
              <w:rPr>
                <w:sz w:val="4"/>
                <w:szCs w:val="4"/>
              </w:rPr>
            </w:pPr>
            <w:r>
              <w:rPr>
                <w:sz w:val="4"/>
                <w:szCs w:val="4"/>
              </w:rPr>
            </w:r>
          </w:p>
        </w:tc>
      </w:tr>
      <w:tr>
        <w:trPr/>
        <w:tc>
          <w:tcPr>
            <w:tcW w:w="43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20"/>
              </w:rPr>
              <w:t xml:space="preserve">Beginning balance of Kudu’s Participation Contracts </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1,352.2</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1,285.0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6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Contributions to Participation Contracts </w:t>
            </w:r>
            <w:r>
              <w:rPr>
                <w:rFonts w:ascii="Times New Roman;serif" w:hAnsi="Times New Roman;serif"/>
                <w:b w:val="false"/>
                <w:color w:val="000000"/>
                <w:sz w:val="10"/>
              </w:rPr>
              <w:t>(2)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6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Proceeds from Participation Contracts sold </w:t>
            </w:r>
            <w:r>
              <w:rPr>
                <w:rFonts w:ascii="Times New Roman;serif" w:hAnsi="Times New Roman;serif"/>
                <w:b w:val="false"/>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(75.1)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6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r>
              <w:rPr>
                <w:rFonts w:ascii="Times New Roman;serif" w:hAnsi="Times New Roman;serif"/>
                <w:b w:val="false"/>
                <w:color w:val="000000"/>
                <w:sz w:val="20"/>
              </w:rPr>
              <w:t>Net realized and unrealized investment gains (losses) on</w:t>
            </w:r>
          </w:p>
          <w:p>
            <w:pPr>
              <w:pStyle w:val="TableContents"/>
              <w:bidi w:val="0"/>
              <w:spacing w:lineRule="auto" w:line="240" w:before="0" w:after="0"/>
              <w:ind w:left="0" w:right="0" w:hanging="180"/>
              <w:jc w:val="left"/>
              <w:rPr/>
            </w:pPr>
            <w:r>
              <w:rPr>
                <w:color w:val="000000"/>
              </w:rPr>
              <w:t>    </w:t>
            </w:r>
            <w:r>
              <w:rPr>
                <w:rFonts w:ascii="Times New Roman;serif" w:hAnsi="Times New Roman;serif"/>
                <w:b w:val="false"/>
                <w:color w:val="000000"/>
                <w:sz w:val="20"/>
              </w:rPr>
              <w:t xml:space="preserve">Participation Contracts sold and pending sale </w:t>
            </w:r>
            <w:r>
              <w:rPr>
                <w:rFonts w:ascii="Times New Roman;serif" w:hAnsi="Times New Roman;serif"/>
                <w:b w:val="false"/>
                <w:color w:val="000000"/>
                <w:sz w:val="10"/>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26.2</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6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r>
              <w:rPr>
                <w:rFonts w:ascii="Times New Roman;serif" w:hAnsi="Times New Roman;serif"/>
                <w:b w:val="false"/>
                <w:color w:val="000000"/>
                <w:sz w:val="20"/>
              </w:rPr>
              <w:t>Net unrealized investment gains (losses) on Participation</w:t>
            </w:r>
          </w:p>
          <w:p>
            <w:pPr>
              <w:pStyle w:val="TableContents"/>
              <w:bidi w:val="0"/>
              <w:spacing w:lineRule="auto" w:line="240" w:before="0" w:after="0"/>
              <w:ind w:left="0" w:right="0" w:hanging="180"/>
              <w:jc w:val="left"/>
              <w:rPr/>
            </w:pPr>
            <w:r>
              <w:rPr>
                <w:color w:val="000000"/>
              </w:rPr>
              <w:t>      </w:t>
            </w:r>
            <w:r>
              <w:rPr>
                <w:rFonts w:ascii="Times New Roman;serif" w:hAnsi="Times New Roman;serif"/>
                <w:b w:val="false"/>
                <w:color w:val="000000"/>
                <w:sz w:val="20"/>
              </w:rPr>
              <w:t xml:space="preserve">Contracts - all other </w:t>
            </w:r>
            <w:r>
              <w:rPr>
                <w:rFonts w:ascii="Times New Roman;serif" w:hAnsi="Times New Roman;serif"/>
                <w:b w:val="false"/>
                <w:color w:val="000000"/>
                <w:sz w:val="1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68"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Ending balance of Kudu’s Participation Contracts </w:t>
            </w:r>
            <w:r>
              <w:rPr>
                <w:rFonts w:ascii="Times New Roman;serif" w:hAnsi="Times New Roman;serif"/>
                <w:b w:val="false"/>
                <w:color w:val="000000"/>
                <w:sz w:val="10"/>
              </w:rPr>
              <w:t>(6)</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1,344.6</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1,344.6</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18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As of March 31, 2026, March 31, 2025, December 31, 2025 and December 31, 2024, Kudu’s other long-term investments also include $6.6, $5.8, $6.4 and $5.6 related to a private debt instrument.</w:t>
      </w:r>
    </w:p>
    <w:p>
      <w:pPr>
        <w:pStyle w:val="TextBody"/>
        <w:bidi w:val="0"/>
        <w:spacing w:lineRule="auto" w:line="276" w:before="0" w:after="0"/>
        <w:ind w:left="0" w:right="0" w:hanging="18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 xml:space="preserve">Includes contributions to new and existing Participation Contracts. </w:t>
      </w:r>
    </w:p>
    <w:p>
      <w:pPr>
        <w:pStyle w:val="TextBody"/>
        <w:bidi w:val="0"/>
        <w:spacing w:lineRule="auto" w:line="276" w:before="0" w:after="0"/>
        <w:ind w:left="0" w:right="0" w:hanging="180"/>
        <w:jc w:val="left"/>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Includes $3.5 of non-cash contributions to (proceeds from) participation contracts for the three and six months ended June 30, 2026.</w:t>
      </w:r>
    </w:p>
    <w:p>
      <w:pPr>
        <w:pStyle w:val="TextBody"/>
        <w:bidi w:val="0"/>
        <w:spacing w:lineRule="auto" w:line="276" w:before="0" w:after="0"/>
        <w:ind w:left="0" w:right="0" w:hanging="180"/>
        <w:jc w:val="left"/>
        <w:rPr/>
      </w:pPr>
      <w:r>
        <w:rPr>
          <w:rFonts w:ascii="Times New Roman;serif" w:hAnsi="Times New Roman;serif"/>
          <w:b w:val="false"/>
          <w:color w:val="000000"/>
          <w:sz w:val="10"/>
        </w:rPr>
        <w:t>(4)</w:t>
      </w:r>
      <w:r>
        <w:rPr>
          <w:color w:val="000000"/>
        </w:rPr>
        <w:t xml:space="preserve"> </w:t>
      </w:r>
      <w:r>
        <w:rPr>
          <w:rFonts w:ascii="Times New Roman;serif" w:hAnsi="Times New Roman;serif"/>
          <w:b w:val="false"/>
          <w:color w:val="000000"/>
          <w:sz w:val="16"/>
        </w:rPr>
        <w:t>Includes net realized and unrealized investment gains (losses) recognized from Participation Contracts beginning in the quarter a contract is classified as pending sale.</w:t>
      </w:r>
    </w:p>
    <w:p>
      <w:pPr>
        <w:pStyle w:val="TextBody"/>
        <w:bidi w:val="0"/>
        <w:spacing w:lineRule="auto" w:line="288" w:before="0" w:after="0"/>
        <w:ind w:left="0" w:right="0" w:hanging="180"/>
        <w:jc w:val="left"/>
        <w:rPr/>
      </w:pPr>
      <w:r>
        <w:rPr>
          <w:rFonts w:ascii="Times New Roman;serif" w:hAnsi="Times New Roman;serif"/>
          <w:b w:val="false"/>
          <w:color w:val="000000"/>
          <w:sz w:val="10"/>
        </w:rPr>
        <w:t>(5)</w:t>
      </w:r>
      <w:r>
        <w:rPr>
          <w:color w:val="000000"/>
        </w:rPr>
        <w:t xml:space="preserve"> </w:t>
      </w:r>
      <w:r>
        <w:rPr>
          <w:rFonts w:ascii="Times New Roman;serif" w:hAnsi="Times New Roman;serif"/>
          <w:b w:val="false"/>
          <w:color w:val="000000"/>
          <w:sz w:val="16"/>
        </w:rPr>
        <w:t>Includes net unrealized investment gains (losses) recognized from (i) ongoing Participation Contracts and (ii) Participation Contracts prior to classification as pending sale.</w:t>
      </w:r>
    </w:p>
    <w:p>
      <w:pPr>
        <w:pStyle w:val="TextBody"/>
        <w:bidi w:val="0"/>
        <w:spacing w:lineRule="auto" w:line="288" w:before="0" w:after="0"/>
        <w:ind w:left="0" w:right="0" w:hanging="90"/>
        <w:jc w:val="left"/>
        <w:rPr/>
      </w:pPr>
      <w:r>
        <w:rPr>
          <w:rFonts w:ascii="Times New Roman;serif" w:hAnsi="Times New Roman;serif"/>
          <w:b w:val="false"/>
          <w:color w:val="000000"/>
          <w:sz w:val="10"/>
        </w:rPr>
        <w:t>(6)</w:t>
      </w:r>
      <w:r>
        <w:rPr>
          <w:color w:val="000000"/>
        </w:rPr>
        <w:t xml:space="preserve"> </w:t>
      </w:r>
      <w:r>
        <w:rPr>
          <w:rFonts w:ascii="Times New Roman;serif" w:hAnsi="Times New Roman;serif"/>
          <w:b w:val="false"/>
          <w:color w:val="000000"/>
          <w:sz w:val="16"/>
        </w:rPr>
        <w:t>As of June 30, 2025, Kudu’s other long-term investments also include $6.1 related to a private debt instrument.</w:t>
      </w:r>
    </w:p>
    <w:p>
      <w:pPr>
        <w:pStyle w:val="TextBody"/>
        <w:bidi w:val="0"/>
        <w:spacing w:before="0" w:after="0"/>
        <w:ind w:left="0" w:right="0" w:hanging="90"/>
        <w:jc w:val="left"/>
        <w:rPr/>
      </w:pPr>
      <w:r>
        <w:rPr/>
      </w:r>
    </w:p>
    <w:p>
      <w:pPr>
        <w:pStyle w:val="TextBody"/>
        <w:bidi w:val="0"/>
        <w:spacing w:lineRule="auto" w:line="288" w:before="60" w:after="283"/>
        <w:ind w:left="0" w:right="0" w:hanging="180"/>
        <w:jc w:val="left"/>
        <w:rPr>
          <w:rFonts w:ascii="Times New Roman;serif" w:hAnsi="Times New Roman;serif"/>
          <w:b/>
          <w:i/>
          <w:color w:val="000000"/>
          <w:sz w:val="20"/>
        </w:rPr>
      </w:pPr>
      <w:r>
        <w:rPr>
          <w:rFonts w:ascii="Times New Roman;serif" w:hAnsi="Times New Roman;serif"/>
          <w:b/>
          <w:i/>
          <w:color w:val="000000"/>
          <w:sz w:val="20"/>
        </w:rPr>
        <w:t>Kudu Results—Three Months Ended June 30, 2026 versus Three Months Ended June 30, 2025</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Kudu reported total revenues of $69 million, pre-tax income of $57 million and adjusted EBITDA of $16 million in the second quarter of 2026 compared to total revenues of $20 million, pre-tax income of $11 million and adjusted EBITDA of $16 million in the second quarter of 2025. Total revenues, pre-tax income and adjusted EBITDA included $19 million of net investment income in both the second quarter of 2026 and 2025. Total revenues and pre-tax income also included $50 million of net realized and unrealized investment gains in the second quarter of 2026 compared to $1 million in the second quarter of 2025. Net realized and unrealized investment gains in the second quarter of 2026 were driven by an increase in the fair value of Kudu’s Participation Contracts, primarily due to lower discount rates across the portfolio and step-ups in valuation related to certain sale transactions. Net realized and unrealized investment gains in the second quarter of 2025 were driven by a modest increase in the fair value of Kudu’s Participation Contracts, primarily due to growth in assets under management at several managers, foreign currency gains resulting from the weakening of the U.S. dollar and a step-up in valuation related to a sale transaction, largely offset by higher discount rates across the portfolio.</w:t>
      </w:r>
    </w:p>
    <w:p>
      <w:pPr>
        <w:pStyle w:val="TextBody"/>
        <w:bidi w:val="0"/>
        <w:spacing w:before="0" w:after="0"/>
        <w:ind w:left="0" w:right="0" w:hanging="180"/>
        <w:jc w:val="left"/>
        <w:rPr/>
      </w:pPr>
      <w:r>
        <w:rPr/>
      </w:r>
    </w:p>
    <w:p>
      <w:pPr>
        <w:pStyle w:val="TextBody"/>
        <w:bidi w:val="0"/>
        <w:spacing w:lineRule="auto" w:line="288" w:before="0" w:after="0"/>
        <w:ind w:left="0" w:right="0" w:hanging="180"/>
        <w:jc w:val="left"/>
        <w:rPr>
          <w:rFonts w:ascii="Times New Roman;serif" w:hAnsi="Times New Roman;serif"/>
          <w:b/>
          <w:i/>
          <w:color w:val="000000"/>
          <w:sz w:val="20"/>
        </w:rPr>
      </w:pPr>
      <w:r>
        <w:rPr>
          <w:rFonts w:ascii="Times New Roman;serif" w:hAnsi="Times New Roman;serif"/>
          <w:b/>
          <w:i/>
          <w:color w:val="000000"/>
          <w:sz w:val="20"/>
        </w:rPr>
        <w:t>Kudu Results—Six Months Ended June 30, 2026 versus Six Months Ended June 30, 2025</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Kudu reported total revenues of $132 million, pre-tax income of $109 million and adjusted EBITDA of $33 million in the first six months of 2026 compared to total revenues of $84 million, pre-tax income of $64 million and adjusted EBITDA of $32 million in the first six months of 2025. Total revenues, pre-tax income and adjusted EBITDA included $40 million of net investment income in the first six months of 2026 compared to $39 million in the first six months of 2025. Total revenues and pre-tax income also included $92 million of net realized and unrealized investment gains in the first six months of 2026 compared to $45 million in the first six months of 2025. Net realized and unrealized investment gains in the first six months of 2026 were driven by an increase in the fair value of Kudu’s Participation Contracts, primarily due to growth in assets under management at several managers, lower discount rates across the portfolio and step-ups in valuation related to certain sale transactions. Net realized and unrealized investment gains in the first six months of 2025 were driven by an increase in the fair value of Kudu’s Participation Contracts, primarily due to growth in assets under management at several managers and foreign currency gains resulting from the weakening of the U.S. dollar.</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HG Global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HG Global was established to fund the startup of BAM and, through its reinsurance subsidiary HG Re, to provide up to 15%-of-par, first-loss reinsurance protection for policies underwritten by BAM.</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the components of pre-tax income (loss) included in the HG Global segment for the three and six months ended June 30, 2026 and 2025:</w:t>
      </w:r>
    </w:p>
    <w:tbl>
      <w:tblPr>
        <w:tblW w:w="9436" w:type="dxa"/>
        <w:jc w:val="center"/>
        <w:tblInd w:w="0" w:type="dxa"/>
        <w:tblLayout w:type="fixed"/>
        <w:tblCellMar>
          <w:top w:w="28" w:type="dxa"/>
          <w:left w:w="28" w:type="dxa"/>
          <w:bottom w:w="28" w:type="dxa"/>
          <w:right w:w="28" w:type="dxa"/>
        </w:tblCellMar>
      </w:tblPr>
      <w:tblGrid>
        <w:gridCol w:w="1594"/>
        <w:gridCol w:w="1399"/>
        <w:gridCol w:w="1416"/>
        <w:gridCol w:w="109"/>
        <w:gridCol w:w="109"/>
        <w:gridCol w:w="109"/>
        <w:gridCol w:w="238"/>
        <w:gridCol w:w="594"/>
        <w:gridCol w:w="123"/>
        <w:gridCol w:w="123"/>
        <w:gridCol w:w="123"/>
        <w:gridCol w:w="123"/>
        <w:gridCol w:w="238"/>
        <w:gridCol w:w="577"/>
        <w:gridCol w:w="123"/>
        <w:gridCol w:w="109"/>
        <w:gridCol w:w="109"/>
        <w:gridCol w:w="109"/>
        <w:gridCol w:w="217"/>
        <w:gridCol w:w="543"/>
        <w:gridCol w:w="112"/>
        <w:gridCol w:w="112"/>
        <w:gridCol w:w="112"/>
        <w:gridCol w:w="112"/>
        <w:gridCol w:w="217"/>
        <w:gridCol w:w="527"/>
        <w:gridCol w:w="159"/>
      </w:tblGrid>
      <w:tr>
        <w:trPr/>
        <w:tc>
          <w:tcPr>
            <w:tcW w:w="1594"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written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Assumed written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19.3</w:t>
            </w: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Gross written premiums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w:t>
            </w:r>
            <w:r>
              <w:rPr>
                <w:color w:val="000000"/>
              </w:rPr>
              <w:t>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19.3</w:t>
            </w:r>
            <w:r>
              <w:rPr>
                <w:color w:val="000000"/>
              </w:rPr>
              <w:t>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Ceded written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written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w:t>
            </w:r>
            <w:r>
              <w:rPr>
                <w:color w:val="000000"/>
              </w:rPr>
              <w:t>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19.3</w:t>
            </w:r>
            <w:r>
              <w:rPr>
                <w:color w:val="000000"/>
              </w:rPr>
              <w:t>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Earned insurance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4"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3"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15.4</w:t>
            </w: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w:t>
            </w: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and unrealized investment 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(7.2)</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from BAM Surplus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w:t>
            </w: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20.4</w:t>
            </w:r>
            <w:r>
              <w:rPr>
                <w:color w:val="000000"/>
              </w:rPr>
              <w:t>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37.6</w:t>
            </w:r>
            <w:r>
              <w:rPr>
                <w:color w:val="000000"/>
              </w:rPr>
              <w:t>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acquisition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w:t>
            </w:r>
            <w:r>
              <w:rPr>
                <w:color w:val="000000"/>
              </w:rPr>
              <w:t>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w:t>
            </w:r>
            <w:r>
              <w:rPr>
                <w:color w:val="000000"/>
              </w:rPr>
              <w:t>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General and administrative expenses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4.9</w:t>
            </w: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w:t>
            </w:r>
            <w:r>
              <w:rPr>
                <w:color w:val="000000"/>
              </w:rPr>
              <w:t>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16.4</w:t>
            </w:r>
            <w:r>
              <w:rPr>
                <w:color w:val="000000"/>
              </w:rPr>
              <w:t>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Pre-tax income (loss)</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w:t>
            </w:r>
            <w:r>
              <w:rPr>
                <w:color w:val="000000"/>
              </w:rPr>
              <w:t> </w:t>
            </w:r>
          </w:p>
        </w:tc>
        <w:tc>
          <w:tcPr>
            <w:tcW w:w="1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21.2</w:t>
            </w:r>
            <w:r>
              <w:rPr>
                <w:color w:val="000000"/>
              </w:rPr>
              <w:t> </w:t>
            </w:r>
          </w:p>
        </w:tc>
        <w:tc>
          <w:tcPr>
            <w:tcW w:w="1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0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HG Global Results—Three Months Ended June 30, 2026 versus Three Months Ended June 30, 2025</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HG Global reported gross written premiums of $11 million and earned premiums of $8 million in the second quarter of 2026 compared to gross written premiums of $19 million and earned premiums of $7 million in the second quarter of 2025. HG Global reported gross written premiums net of ceding commission paid of $8 million in the second quarter of 2026 compared to $13 million in the second quarter of 2025. HG Global’s total par value of policies assumed, which represents its first-loss exposure on policies assumed from BAM, was $818 million in the second quarter of 2026, of which $741 million was in the primary market and $77 million was in the secondary market. This compares to $931 million in the second quarter of 2025, of which $840 million was in the primary market and $90 million was in the secondary market. The decline in primary and secondary market par assumed was driven by tighter municipal bond spreads, leading to lower demand for municipal bond insurance.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HG Global’s total gross pricing was 135 basis points in the second quarter of 2026, compared to 206 basis points in the second quarter of 2025. Pricing in the primary market decreased to 120 basis points in the second quarter of 2026 compared to 199 basis points in the second quarter of 2025, due to tighter municipal bond spreads and fewer large, high-priced issuances insured by BAM in the second quarter of 2026. Pricing in the secondary market, which is more transaction specific than pricing in the primary market, was 274 basis points in the second quarter of 2026 compared to 277 basis points in the second quarter of 2025. Total pricing net of ceding commission paid decreased to 95 basis points in the second quarter of 2026 compared to 144 basis points in the second quarter of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HG Global’s par value assumed, reinsurance premiums and pricing for the three months ended June 30, 2026 and 2025:</w:t>
      </w:r>
    </w:p>
    <w:tbl>
      <w:tblPr>
        <w:tblW w:w="8159" w:type="dxa"/>
        <w:jc w:val="center"/>
        <w:tblInd w:w="0" w:type="dxa"/>
        <w:tblLayout w:type="fixed"/>
        <w:tblCellMar>
          <w:top w:w="28" w:type="dxa"/>
          <w:left w:w="28" w:type="dxa"/>
          <w:bottom w:w="28" w:type="dxa"/>
          <w:right w:w="28" w:type="dxa"/>
        </w:tblCellMar>
      </w:tblPr>
      <w:tblGrid>
        <w:gridCol w:w="1810"/>
        <w:gridCol w:w="1597"/>
        <w:gridCol w:w="1602"/>
        <w:gridCol w:w="109"/>
        <w:gridCol w:w="109"/>
        <w:gridCol w:w="109"/>
        <w:gridCol w:w="211"/>
        <w:gridCol w:w="631"/>
        <w:gridCol w:w="391"/>
        <w:gridCol w:w="109"/>
        <w:gridCol w:w="109"/>
        <w:gridCol w:w="109"/>
        <w:gridCol w:w="211"/>
        <w:gridCol w:w="616"/>
        <w:gridCol w:w="436"/>
      </w:tblGrid>
      <w:tr>
        <w:trPr/>
        <w:tc>
          <w:tcPr>
            <w:tcW w:w="1810"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1590" w:type="dxa"/>
            <w:gridSpan w:val="6"/>
            <w:tcBorders/>
          </w:tcPr>
          <w:p>
            <w:pPr>
              <w:pStyle w:val="TableContents"/>
              <w:bidi w:val="0"/>
              <w:spacing w:before="0" w:after="283"/>
              <w:jc w:val="left"/>
              <w:rPr>
                <w:sz w:val="4"/>
                <w:szCs w:val="4"/>
              </w:rPr>
            </w:pPr>
            <w:r>
              <w:rPr>
                <w:sz w:val="4"/>
                <w:szCs w:val="4"/>
              </w:rPr>
            </w:r>
          </w:p>
        </w:tc>
      </w:tr>
      <w:tr>
        <w:trPr/>
        <w:tc>
          <w:tcPr>
            <w:tcW w:w="50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Par value assumed: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Par value of primary market policies assumed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741.0</w:t>
            </w:r>
            <w:r>
              <w:rPr>
                <w:color w:val="000000"/>
              </w:rPr>
              <w:t> </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840.1 </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Par value of secondary market policies assumed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76.6</w:t>
            </w:r>
            <w:r>
              <w:rPr>
                <w:color w:val="000000"/>
              </w:rPr>
              <w:t> </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90.4 </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par value of policies assumed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817.6</w:t>
            </w:r>
            <w:r>
              <w:rPr>
                <w:color w:val="000000"/>
              </w:rPr>
              <w:t> </w:t>
            </w:r>
          </w:p>
        </w:tc>
        <w:tc>
          <w:tcPr>
            <w:tcW w:w="3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930.5 </w:t>
            </w:r>
          </w:p>
        </w:tc>
        <w:tc>
          <w:tcPr>
            <w:tcW w:w="4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Reinsurance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Gross written premiums from primary market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8.9</w:t>
            </w:r>
            <w:r>
              <w:rPr>
                <w:color w:val="000000"/>
              </w:rPr>
              <w:t> </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Gross written premiums from secondary market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w:t>
            </w:r>
            <w:r>
              <w:rPr>
                <w:color w:val="000000"/>
              </w:rPr>
              <w:t> </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written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w:t>
            </w:r>
            <w:r>
              <w:rPr>
                <w:color w:val="000000"/>
              </w:rPr>
              <w:t> </w:t>
            </w:r>
          </w:p>
        </w:tc>
        <w:tc>
          <w:tcPr>
            <w:tcW w:w="3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4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Ceding commission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w:t>
            </w:r>
            <w:r>
              <w:rPr>
                <w:color w:val="000000"/>
              </w:rPr>
              <w:t> </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written premiums net of ceding commission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w:t>
            </w:r>
            <w:r>
              <w:rPr>
                <w:color w:val="000000"/>
              </w:rPr>
              <w:t> </w:t>
            </w:r>
          </w:p>
        </w:tc>
        <w:tc>
          <w:tcPr>
            <w:tcW w:w="3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4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Earned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w:t>
            </w:r>
            <w:r>
              <w:rPr>
                <w:color w:val="000000"/>
              </w:rPr>
              <w:t> </w:t>
            </w:r>
          </w:p>
        </w:tc>
        <w:tc>
          <w:tcPr>
            <w:tcW w:w="3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Pricing: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Gross pricing from primary market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120</w:t>
            </w:r>
            <w:r>
              <w:rPr>
                <w:color w:val="000000"/>
              </w:rPr>
              <w:t> </w:t>
            </w:r>
          </w:p>
        </w:tc>
        <w:tc>
          <w:tcPr>
            <w:tcW w:w="3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199 </w:t>
            </w:r>
          </w:p>
        </w:tc>
        <w:tc>
          <w:tcPr>
            <w:tcW w:w="4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bps</w:t>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Gross pricing from secondary market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274</w:t>
            </w:r>
            <w:r>
              <w:rPr>
                <w:color w:val="000000"/>
              </w:rPr>
              <w:t> </w:t>
            </w:r>
          </w:p>
        </w:tc>
        <w:tc>
          <w:tcPr>
            <w:tcW w:w="3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4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bps</w:t>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pricing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w:t>
            </w:r>
            <w:r>
              <w:rPr>
                <w:color w:val="000000"/>
              </w:rPr>
              <w:t> </w:t>
            </w:r>
          </w:p>
        </w:tc>
        <w:tc>
          <w:tcPr>
            <w:tcW w:w="3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bps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43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bps</w:t>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pricing net of ceding commission paid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95</w:t>
            </w:r>
            <w:r>
              <w:rPr>
                <w:color w:val="000000"/>
              </w:rPr>
              <w:t> </w:t>
            </w:r>
          </w:p>
        </w:tc>
        <w:tc>
          <w:tcPr>
            <w:tcW w:w="39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bps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436"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bps</w:t>
            </w:r>
          </w:p>
        </w:tc>
      </w:tr>
    </w:tbl>
    <w:p>
      <w:pPr>
        <w:pStyle w:val="TextBody"/>
        <w:bidi w:val="0"/>
        <w:spacing w:lineRule="auto" w:line="288" w:before="0" w:after="0"/>
        <w:ind w:left="0" w:right="0" w:firstLine="450"/>
        <w:jc w:val="left"/>
        <w:rPr/>
      </w:pPr>
      <w:r>
        <w:rPr>
          <w:rFonts w:ascii="Arial Narrow;sans-serif" w:hAnsi="Arial Narrow;sans-serif"/>
          <w:b w:val="false"/>
          <w:color w:val="000000"/>
          <w:sz w:val="10"/>
        </w:rPr>
        <w:t>(</w:t>
      </w: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 xml:space="preserve">For capital appreciation bonds, par is adjusted to the estimated equivalent par value for current interest paying bonds.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HG Global reported pre-tax income of </w:t>
      </w:r>
      <w:r>
        <w:rPr>
          <w:rFonts w:ascii="Times New Roman;serif" w:hAnsi="Times New Roman;serif"/>
          <w:b w:val="false"/>
          <w:color w:val="000000"/>
          <w:sz w:val="20"/>
        </w:rPr>
        <w:t xml:space="preserve">$10 million </w:t>
      </w:r>
      <w:r>
        <w:rPr>
          <w:rFonts w:ascii="Times New Roman;serif" w:hAnsi="Times New Roman;serif"/>
          <w:b w:val="false"/>
          <w:color w:val="000000"/>
          <w:sz w:val="20"/>
          <w:shd w:fill="FFFFFF" w:val="clear"/>
        </w:rPr>
        <w:t xml:space="preserve">in the </w:t>
      </w:r>
      <w:r>
        <w:rPr>
          <w:rFonts w:ascii="Times New Roman;serif" w:hAnsi="Times New Roman;serif"/>
          <w:b w:val="false"/>
          <w:color w:val="000000"/>
          <w:sz w:val="20"/>
        </w:rPr>
        <w:t xml:space="preserve">second quarter of 2026 </w:t>
      </w:r>
      <w:r>
        <w:rPr>
          <w:rFonts w:ascii="Times New Roman;serif" w:hAnsi="Times New Roman;serif"/>
          <w:b w:val="false"/>
          <w:color w:val="000000"/>
          <w:sz w:val="20"/>
          <w:shd w:fill="FFFFFF" w:val="clear"/>
        </w:rPr>
        <w:t xml:space="preserve">compared to </w:t>
      </w:r>
      <w:r>
        <w:rPr>
          <w:rFonts w:ascii="Times New Roman;serif" w:hAnsi="Times New Roman;serif"/>
          <w:b w:val="false"/>
          <w:color w:val="000000"/>
          <w:sz w:val="20"/>
        </w:rPr>
        <w:t>$17 million</w:t>
      </w:r>
      <w:r>
        <w:rPr>
          <w:color w:val="000000"/>
          <w:shd w:fill="FFFFFF" w:val="clear"/>
        </w:rPr>
        <w:t xml:space="preserve"> </w:t>
      </w:r>
      <w:r>
        <w:rPr>
          <w:rFonts w:ascii="Times New Roman;serif" w:hAnsi="Times New Roman;serif"/>
          <w:b w:val="false"/>
          <w:color w:val="000000"/>
          <w:sz w:val="20"/>
          <w:shd w:fill="FFFFFF" w:val="clear"/>
        </w:rPr>
        <w:t xml:space="preserve">in the </w:t>
      </w:r>
      <w:r>
        <w:rPr>
          <w:rFonts w:ascii="Times New Roman;serif" w:hAnsi="Times New Roman;serif"/>
          <w:b w:val="false"/>
          <w:color w:val="000000"/>
          <w:sz w:val="20"/>
        </w:rPr>
        <w:t>second quarter of 2025</w:t>
      </w:r>
      <w:r>
        <w:rPr>
          <w:rFonts w:ascii="Times New Roman;serif" w:hAnsi="Times New Roman;serif"/>
          <w:b w:val="false"/>
          <w:color w:val="000000"/>
          <w:sz w:val="20"/>
          <w:shd w:fill="FFFFFF" w:val="clear"/>
        </w:rPr>
        <w:t xml:space="preserve">. HG Global’s results in the </w:t>
      </w:r>
      <w:r>
        <w:rPr>
          <w:rFonts w:ascii="Times New Roman;serif" w:hAnsi="Times New Roman;serif"/>
          <w:b w:val="false"/>
          <w:color w:val="000000"/>
          <w:sz w:val="20"/>
        </w:rPr>
        <w:t>second quarter of 2026</w:t>
      </w:r>
      <w:r>
        <w:rPr>
          <w:color w:val="000000"/>
          <w:shd w:fill="FFFFFF" w:val="clear"/>
        </w:rPr>
        <w:t xml:space="preserve"> </w:t>
      </w:r>
      <w:r>
        <w:rPr>
          <w:rFonts w:ascii="Times New Roman;serif" w:hAnsi="Times New Roman;serif"/>
          <w:b w:val="false"/>
          <w:color w:val="000000"/>
          <w:sz w:val="20"/>
          <w:shd w:fill="FFFFFF" w:val="clear"/>
        </w:rPr>
        <w:t xml:space="preserve">included net realized and unrealized investment gains (losses) on its fixed income portfolio of </w:t>
      </w:r>
      <w:r>
        <w:rPr>
          <w:rFonts w:ascii="Times New Roman;serif" w:hAnsi="Times New Roman;serif"/>
          <w:b w:val="false"/>
          <w:color w:val="000000"/>
          <w:sz w:val="20"/>
        </w:rPr>
        <w:t>$(2) million</w:t>
      </w:r>
      <w:r>
        <w:rPr>
          <w:color w:val="000000"/>
          <w:shd w:fill="FFFFFF" w:val="clear"/>
        </w:rPr>
        <w:t xml:space="preserve"> </w:t>
      </w:r>
      <w:r>
        <w:rPr>
          <w:rFonts w:ascii="Times New Roman;serif" w:hAnsi="Times New Roman;serif"/>
          <w:b w:val="false"/>
          <w:color w:val="000000"/>
          <w:sz w:val="20"/>
          <w:shd w:fill="FFFFFF" w:val="clear"/>
        </w:rPr>
        <w:t xml:space="preserve">compared to </w:t>
      </w:r>
      <w:r>
        <w:rPr>
          <w:rFonts w:ascii="Times New Roman;serif" w:hAnsi="Times New Roman;serif"/>
          <w:b w:val="false"/>
          <w:color w:val="000000"/>
          <w:sz w:val="20"/>
        </w:rPr>
        <w:t>$3 million</w:t>
      </w:r>
      <w:r>
        <w:rPr>
          <w:color w:val="000000"/>
          <w:shd w:fill="FFFFFF" w:val="clear"/>
        </w:rPr>
        <w:t xml:space="preserve"> </w:t>
      </w:r>
      <w:r>
        <w:rPr>
          <w:rFonts w:ascii="Times New Roman;serif" w:hAnsi="Times New Roman;serif"/>
          <w:b w:val="false"/>
          <w:color w:val="000000"/>
          <w:sz w:val="20"/>
          <w:shd w:fill="FFFFFF" w:val="clear"/>
        </w:rPr>
        <w:t xml:space="preserve">in the </w:t>
      </w:r>
      <w:r>
        <w:rPr>
          <w:rFonts w:ascii="Times New Roman;serif" w:hAnsi="Times New Roman;serif"/>
          <w:b w:val="false"/>
          <w:color w:val="000000"/>
          <w:sz w:val="20"/>
        </w:rPr>
        <w:t>second quarter of 2025</w:t>
      </w:r>
      <w:r>
        <w:rPr>
          <w:rFonts w:ascii="Times New Roman;serif" w:hAnsi="Times New Roman;serif"/>
          <w:b w:val="false"/>
          <w:color w:val="000000"/>
          <w:sz w:val="20"/>
          <w:shd w:fill="FFFFFF" w:val="clear"/>
        </w:rPr>
        <w:t>, dr</w:t>
      </w:r>
      <w:r>
        <w:rPr>
          <w:rFonts w:ascii="Times New Roman;serif" w:hAnsi="Times New Roman;serif"/>
          <w:b w:val="false"/>
          <w:color w:val="000000"/>
          <w:sz w:val="20"/>
        </w:rPr>
        <w:t>iven by the movement of interest rates in each period. HG Global’s res</w:t>
      </w:r>
      <w:r>
        <w:rPr>
          <w:rFonts w:ascii="Times New Roman;serif" w:hAnsi="Times New Roman;serif"/>
          <w:b w:val="false"/>
          <w:color w:val="000000"/>
          <w:sz w:val="20"/>
          <w:shd w:fill="FFFFFF" w:val="clear"/>
        </w:rPr>
        <w:t>ults</w:t>
      </w:r>
      <w:r>
        <w:rPr>
          <w:color w:val="000000"/>
        </w:rPr>
        <w:t xml:space="preserve"> </w:t>
      </w:r>
      <w:r>
        <w:rPr>
          <w:rFonts w:ascii="Times New Roman;serif" w:hAnsi="Times New Roman;serif"/>
          <w:b w:val="false"/>
          <w:color w:val="000000"/>
          <w:sz w:val="20"/>
          <w:shd w:fill="FFFFFF" w:val="clear"/>
        </w:rPr>
        <w:t xml:space="preserve">included interest income on the BAM Surplus Notes of </w:t>
      </w:r>
      <w:r>
        <w:rPr>
          <w:rFonts w:ascii="Times New Roman;serif" w:hAnsi="Times New Roman;serif"/>
          <w:b w:val="false"/>
          <w:color w:val="000000"/>
          <w:sz w:val="20"/>
        </w:rPr>
        <w:t xml:space="preserve">$7 million in the second quarter of 2026 compared to $8 million in the second quarter of 2025.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fair value of the BAM Surplus Notes increased to $353 million as of June 30, 2026 compared to $346 million as of March 31, 2026, resulting from $7 million of accrued interest. During both the second quarter of 2026 and 2025, HG Global did not receive any payments of principal and interest on the BAM Surplus Notes. On July 28, 2026, HG Global received a cash payment of principal and interest on the BAM Surplus Notes of $8 million. Of this payment, $5 million was a repayment of principal held in the Supplemental Trust, less than $1 million was a payment of accrued interest held in the Supplemental Trust and $3 million was a payment of accrued interest held outside the Supplemental Trust.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second quarter of 2026, HG Re received a distribution from the Supplemental Trust of $14 million, which consisted of an assignment of accrued interest on the BAM Surplus Notes of $7 million and a cash distribution of $7 million. During the second quarter of 2025, HG Re received a distribution from the Supplemental Trust of $22 million, which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consisted of an assignment of accrued interest on the BAM Surplus Notes of $15 million and a cash distribution of $7 million.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May 14, 2026, HG Global refinanced its senior debt facility, upsizing the facility to $200 million and lowering the interest rate to a fixed rate of 7.4%. In turn, on May 26, 2026, HG Global paid a $93 million cash dividend to shareholders, of which $90 million was paid to White Mountains. In connection with the extinguishment of its prior senior debt facility, HG Global recognized a $4 million loss within general and administrative expenses.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HG Global Results—Six Months Ended June 30, 2026 versus Six Months Ended June 30, 2025</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HG Global reported gross written premiums of $19 million and earned premiums of $15 million in the first six months of 2026 compared to gross written premiums of $26 million and earned premiums of $15 million in the first six months of 2025. Earned premiums included $1 million recognized as a result of refundings in the first six months of 2026 compared to $2 million in the first six months of 2025. HG Global reported gross written premiums net of ceding commission paid of $14 million in the first six months of 2026 compared to $18 million in the first six months of 2025. HG Global’s total par value of policies assumed, which represents its first-loss exposure on policies assumed from BAM, was $1,335 million in the first six months of 2026, of which $1,159 million was in the primary market and $176 million was in the secondary market. This compares to $1,358 million in the first six months of 2025, of which $1,167 million was in the primary market and $191 million was in the secondary market. The decline in secondary market par assumed was driven by tighter municipal bond spreads, leading to lower demand for municipal bond insurance.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HG Global’s total gross pricing was 145 basis points in the first six months of 2026 compared to 191 basis points in the first six months of 2025. Pricing in the primary market decreased to 112 basis points in the first six months of 2026 compared to 176 basis points in the first six months of 2025, due to tighter municipal bond spreads and fewer large, high-priced issuances insured by BAM in the first six months of 2026. Pricing in the secondary market, which is more transaction specific than pricing in the primary market, increased to 358 basis points in the first six months of 2026 compared to 283 basis points in the first six months of 2025. Total pricing net of ceding commission paid decreased to 102 basis points in the first six months of 2026 compared to 133 basis points in the first six months of 2025.</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HG Global’s par value assumed, reinsurance premiums and pricing for the six months ended June 30, 2026 and 2025:</w:t>
      </w:r>
    </w:p>
    <w:tbl>
      <w:tblPr>
        <w:tblW w:w="7844" w:type="dxa"/>
        <w:jc w:val="center"/>
        <w:tblInd w:w="0" w:type="dxa"/>
        <w:tblLayout w:type="fixed"/>
        <w:tblCellMar>
          <w:top w:w="28" w:type="dxa"/>
          <w:left w:w="28" w:type="dxa"/>
          <w:bottom w:w="28" w:type="dxa"/>
          <w:right w:w="28" w:type="dxa"/>
        </w:tblCellMar>
      </w:tblPr>
      <w:tblGrid>
        <w:gridCol w:w="1811"/>
        <w:gridCol w:w="1596"/>
        <w:gridCol w:w="1602"/>
        <w:gridCol w:w="109"/>
        <w:gridCol w:w="109"/>
        <w:gridCol w:w="109"/>
        <w:gridCol w:w="275"/>
        <w:gridCol w:w="206"/>
        <w:gridCol w:w="564"/>
        <w:gridCol w:w="128"/>
        <w:gridCol w:w="128"/>
        <w:gridCol w:w="128"/>
        <w:gridCol w:w="270"/>
        <w:gridCol w:w="196"/>
        <w:gridCol w:w="613"/>
      </w:tblGrid>
      <w:tr>
        <w:trPr/>
        <w:tc>
          <w:tcPr>
            <w:tcW w:w="1811"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1463" w:type="dxa"/>
            <w:gridSpan w:val="6"/>
            <w:tcBorders/>
          </w:tcPr>
          <w:p>
            <w:pPr>
              <w:pStyle w:val="TableContents"/>
              <w:bidi w:val="0"/>
              <w:spacing w:before="0" w:after="283"/>
              <w:jc w:val="left"/>
              <w:rPr>
                <w:sz w:val="4"/>
                <w:szCs w:val="4"/>
              </w:rPr>
            </w:pPr>
            <w:r>
              <w:rPr>
                <w:sz w:val="4"/>
                <w:szCs w:val="4"/>
              </w:rPr>
            </w:r>
          </w:p>
        </w:tc>
      </w:tr>
      <w:tr>
        <w:trPr/>
        <w:tc>
          <w:tcPr>
            <w:tcW w:w="50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Par value assumed: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Par value of primary market policies assumed </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1,159.4</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1,167.1</w:t>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Par value of secondary market policies assumed </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175.8</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w:t>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par value of policies assumed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1,335.2</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1,357.8</w:t>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Reinsurance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5"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written premiums from primary market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13.0</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written premiums from secondary market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6.3</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written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19.3</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w:t>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Ceding commission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5.7</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written premiums net of ceding commission paid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13.6</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Earned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15.4</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Pricing: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pricing from primary market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w:t>
            </w:r>
            <w:r>
              <w:rPr>
                <w:color w:val="000000"/>
              </w:rPr>
              <w:t> </w:t>
            </w:r>
          </w:p>
        </w:tc>
        <w:tc>
          <w:tcPr>
            <w:tcW w:w="56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bps</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61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bps</w:t>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pricing from secondary market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358</w:t>
            </w:r>
            <w:r>
              <w:rPr>
                <w:color w:val="000000"/>
              </w:rPr>
              <w:t> </w:t>
            </w:r>
          </w:p>
        </w:tc>
        <w:tc>
          <w:tcPr>
            <w:tcW w:w="56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bps</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61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bps</w:t>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pricing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145</w:t>
            </w:r>
            <w:r>
              <w:rPr>
                <w:color w:val="000000"/>
              </w:rPr>
              <w:t> </w:t>
            </w:r>
          </w:p>
        </w:tc>
        <w:tc>
          <w:tcPr>
            <w:tcW w:w="56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bps</w:t>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61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bps</w:t>
            </w:r>
          </w:p>
        </w:tc>
      </w:tr>
      <w:tr>
        <w:trPr/>
        <w:tc>
          <w:tcPr>
            <w:tcW w:w="5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pricing net of ceding commission paid</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w:t>
            </w:r>
            <w:r>
              <w:rPr>
                <w:color w:val="000000"/>
              </w:rPr>
              <w:t> </w:t>
            </w:r>
          </w:p>
        </w:tc>
        <w:tc>
          <w:tcPr>
            <w:tcW w:w="564"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bps</w:t>
            </w:r>
          </w:p>
        </w:tc>
        <w:tc>
          <w:tcPr>
            <w:tcW w:w="38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613"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bps</w:t>
            </w:r>
          </w:p>
        </w:tc>
      </w:tr>
    </w:tbl>
    <w:p>
      <w:pPr>
        <w:pStyle w:val="TextBody"/>
        <w:bidi w:val="0"/>
        <w:spacing w:lineRule="auto" w:line="288" w:before="60" w:after="283"/>
        <w:ind w:left="0" w:right="0" w:firstLine="45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For capital appreciation bonds, par is adjusted to the estimated equivalent par value for current interest paying bonds.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HG Global reported pre-tax income of $21 million in the first six months of 2026 compared to $42 million in the first six months of 2025. HG Global’s results in the first six months of 2026 included net realized and unrealized investment gains (losses) on its fixed income portfolio of $(7) million compared to $13 million in the first six months of 2025, driven by movements in interest rates in each period. HG Global’s results in the first six months of 2026 included interest income on the BAM Surplus Notes of $14 million compared to $15 million in the first six months of 2025.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fair value of the BAM Surplus Notes increased to $353 million as of June 30, 2026 compared to $339 million as of December 31, 2025, resulting from $14 million of accrued interest. During both the first six months of 2026 and 2025, HG Global did not receive any payments of principal or interest on the BAM Surplus Notes.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first six months of 2026, HG Re received a distribution from the Supplemental Trust of $29 million, which consisted of an assignment of accrued interest on the BAM Surplus Notes of $14 million and a cash distribution of $15 million. During the first six months of 2025, HG Re received a distribution from the Supplemental Trust of $22 million, which consisted of an assignment of accrued interest on the BAM Surplus Notes of $15 million and a cash distribution of $7 million.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HG Global Balance Sheets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amounts for the HG Global segment that are presented within White Mountains’s consolidated balance sheets as of June 30, 2026 and December 31, 2025:</w:t>
      </w:r>
    </w:p>
    <w:tbl>
      <w:tblPr>
        <w:tblW w:w="10205" w:type="dxa"/>
        <w:jc w:val="center"/>
        <w:tblInd w:w="0" w:type="dxa"/>
        <w:tblLayout w:type="fixed"/>
        <w:tblCellMar>
          <w:top w:w="28" w:type="dxa"/>
          <w:left w:w="28" w:type="dxa"/>
          <w:bottom w:w="28" w:type="dxa"/>
          <w:right w:w="28" w:type="dxa"/>
        </w:tblCellMar>
      </w:tblPr>
      <w:tblGrid>
        <w:gridCol w:w="2329"/>
        <w:gridCol w:w="1979"/>
        <w:gridCol w:w="1996"/>
        <w:gridCol w:w="109"/>
        <w:gridCol w:w="109"/>
        <w:gridCol w:w="109"/>
        <w:gridCol w:w="211"/>
        <w:gridCol w:w="781"/>
        <w:gridCol w:w="301"/>
        <w:gridCol w:w="109"/>
        <w:gridCol w:w="109"/>
        <w:gridCol w:w="109"/>
        <w:gridCol w:w="264"/>
        <w:gridCol w:w="960"/>
        <w:gridCol w:w="136"/>
        <w:gridCol w:w="109"/>
        <w:gridCol w:w="109"/>
        <w:gridCol w:w="109"/>
        <w:gridCol w:w="109"/>
        <w:gridCol w:w="158"/>
      </w:tblGrid>
      <w:tr>
        <w:trPr/>
        <w:tc>
          <w:tcPr>
            <w:tcW w:w="2329"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investments, at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715.1</w:t>
            </w: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693.4 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 at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34.2</w:t>
            </w: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749.3</w:t>
            </w:r>
            <w:r>
              <w:rPr>
                <w:color w:val="000000"/>
              </w:rPr>
              <w:t> </w:t>
            </w:r>
          </w:p>
        </w:tc>
        <w:tc>
          <w:tcPr>
            <w:tcW w:w="3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784.2 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BAM Surplus Notes, at fair value </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352.8</w:t>
            </w: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339.0 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premiums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w:t>
            </w: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acquisition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98.5</w:t>
            </w: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6.0</w:t>
            </w: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1,216.6</w:t>
            </w:r>
            <w:r>
              <w:rPr>
                <w:color w:val="000000"/>
              </w:rPr>
              <w:t> </w:t>
            </w:r>
          </w:p>
        </w:tc>
        <w:tc>
          <w:tcPr>
            <w:tcW w:w="3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1,236.8 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Preferred dividends payable to White Mountains </w:t>
            </w:r>
            <w:r>
              <w:rPr>
                <w:rFonts w:ascii="Times New Roman;serif" w:hAnsi="Times New Roman;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470.7</w:t>
            </w: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527.2 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dividends payable to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14.5</w:t>
            </w: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insurance premiums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331.8</w:t>
            </w: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327.9 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197.4</w:t>
            </w: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incentive 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w:t>
            </w: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w:t>
            </w: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1,020.0</w:t>
            </w:r>
            <w:r>
              <w:rPr>
                <w:color w:val="000000"/>
              </w:rPr>
              <w:t> </w:t>
            </w:r>
          </w:p>
        </w:tc>
        <w:tc>
          <w:tcPr>
            <w:tcW w:w="3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1,026.7 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White Mountains’s common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216.6</w:t>
            </w: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(20.0)</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196.6</w:t>
            </w:r>
            <w:r>
              <w:rPr>
                <w:color w:val="000000"/>
              </w:rPr>
              <w:t> </w:t>
            </w:r>
          </w:p>
        </w:tc>
        <w:tc>
          <w:tcPr>
            <w:tcW w:w="3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1,216.6</w:t>
            </w:r>
            <w:r>
              <w:rPr>
                <w:color w:val="000000"/>
              </w:rPr>
              <w:t> </w:t>
            </w:r>
          </w:p>
        </w:tc>
        <w:tc>
          <w:tcPr>
            <w:tcW w:w="3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1,236.8 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HG Global total equity after intercompany 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White Mountains’s common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216.6</w:t>
            </w: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Preferred dividends payable to White Mountains elimination </w:t>
            </w:r>
            <w:r>
              <w:rPr>
                <w:rFonts w:ascii="Times New Roman;serif" w:hAnsi="Times New Roman;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470.7</w:t>
            </w: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527.2 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HG Global total equity attributable to White Mountains’s common</w:t>
              <w:br/>
              <w:t>   shareholders after intercompany 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687.3</w:t>
            </w:r>
            <w:r>
              <w:rPr>
                <w:color w:val="000000"/>
              </w:rPr>
              <w:t> </w:t>
            </w:r>
          </w:p>
        </w:tc>
        <w:tc>
          <w:tcPr>
            <w:tcW w:w="3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755.7 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0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Quarter-to-date growth in HG Global’s book value attributable to White Mountains, including dividends </w:t>
            </w:r>
            <w:r>
              <w:rPr>
                <w:rFonts w:ascii="Times New Roman;serif" w:hAnsi="Times New Roman;serif"/>
                <w:b w:val="false"/>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w:t>
            </w:r>
            <w:r>
              <w:rPr>
                <w:color w:val="000000"/>
              </w:rPr>
              <w:t>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3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Year-to-date growth in HG Global’s book value attributable to White Mountains, including dividends</w:t>
            </w:r>
            <w:r>
              <w:rPr>
                <w:color w:val="000000"/>
              </w:rPr>
              <w:t xml:space="preserve"> </w:t>
            </w:r>
            <w:r>
              <w:rPr>
                <w:rFonts w:ascii="Times New Roman;serif" w:hAnsi="Times New Roman;serif"/>
                <w:b w:val="false"/>
                <w:color w:val="000000"/>
                <w:sz w:val="10"/>
              </w:rPr>
              <w:t>(3)</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w:t>
            </w:r>
            <w:r>
              <w:rPr>
                <w:color w:val="000000"/>
              </w:rPr>
              <w:t> </w:t>
            </w:r>
          </w:p>
        </w:tc>
        <w:tc>
          <w:tcPr>
            <w:tcW w:w="30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18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The fair value of the BAM Surplus Notes includes accrued interest receivable.</w:t>
      </w:r>
    </w:p>
    <w:p>
      <w:pPr>
        <w:pStyle w:val="TextBody"/>
        <w:bidi w:val="0"/>
        <w:spacing w:lineRule="auto" w:line="288" w:before="0" w:after="0"/>
        <w:ind w:left="0" w:right="0" w:hanging="180"/>
        <w:jc w:val="left"/>
        <w:rPr/>
      </w:pPr>
      <w:r>
        <w:rPr>
          <w:rFonts w:ascii="Times New Roman;serif" w:hAnsi="Times New Roman;serif"/>
          <w:b w:val="false"/>
          <w:color w:val="000000"/>
          <w:sz w:val="10"/>
        </w:rPr>
        <w:t xml:space="preserve">(2) </w:t>
      </w:r>
      <w:r>
        <w:rPr>
          <w:rFonts w:ascii="Times New Roman;serif" w:hAnsi="Times New Roman;serif"/>
          <w:b w:val="false"/>
          <w:color w:val="000000"/>
          <w:sz w:val="16"/>
        </w:rPr>
        <w:t>HG Global’s preferred dividends payable to White Mountains are eliminated in White Mountains’s consolidated financial statements. For segment reporting, these amounts are included within the HG Global segment and are eliminated against the offsetting receivables included within Other Operations.</w:t>
      </w:r>
    </w:p>
    <w:p>
      <w:pPr>
        <w:pStyle w:val="TextBody"/>
        <w:bidi w:val="0"/>
        <w:spacing w:lineRule="auto" w:line="288" w:before="0" w:after="0"/>
        <w:ind w:left="0" w:right="0" w:hanging="180"/>
        <w:jc w:val="left"/>
        <w:rPr/>
      </w:pPr>
      <w:r>
        <w:rPr>
          <w:rFonts w:ascii="Times New Roman;serif" w:hAnsi="Times New Roman;serif"/>
          <w:b w:val="false"/>
          <w:color w:val="000000"/>
          <w:sz w:val="10"/>
        </w:rPr>
        <w:t xml:space="preserve">(3) </w:t>
      </w:r>
      <w:r>
        <w:rPr>
          <w:rFonts w:ascii="Times New Roman;serif" w:hAnsi="Times New Roman;serif"/>
          <w:b w:val="false"/>
          <w:color w:val="000000"/>
          <w:sz w:val="16"/>
        </w:rPr>
        <w:t>HG Global’s growth in book value attributable to White Mountains is based on the change in HG Global’s total equity attributable to White Mountains’s common shareholders after intercompany eliminations for the period, including the $90.1 dividend paid to White Mountains on May 26, 2026.</w:t>
      </w:r>
    </w:p>
    <w:p>
      <w:pPr>
        <w:pStyle w:val="TextBody"/>
        <w:bidi w:val="0"/>
        <w:spacing w:before="0" w:after="0"/>
        <w:ind w:left="0" w:right="0" w:hanging="180"/>
        <w:jc w:val="left"/>
        <w:rPr/>
      </w:pPr>
      <w:r>
        <w:rPr/>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 the second quarter and first six months of 2026, HG Global grew its book value attributable to White Mountains by 1% and 3%, including the $90 million dividend paid to White Mountains. </w:t>
      </w:r>
    </w:p>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Distinguished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On September 2, 2025, White Mountains acquired a controlling financial interest in Distinguished. See </w:t>
      </w:r>
      <w:r>
        <w:rPr>
          <w:rFonts w:ascii="Times New Roman;serif" w:hAnsi="Times New Roman;serif"/>
          <w:b/>
          <w:color w:val="000000"/>
          <w:sz w:val="20"/>
        </w:rPr>
        <w:t xml:space="preserve">Note 2 — “Significant Transactions” </w:t>
      </w:r>
      <w:r>
        <w:rPr>
          <w:rFonts w:ascii="Times New Roman;serif" w:hAnsi="Times New Roman;serif"/>
          <w:b w:val="false"/>
          <w:color w:val="000000"/>
          <w:sz w:val="20"/>
        </w:rPr>
        <w:t xml:space="preserve">on page </w:t>
      </w:r>
      <w:hyperlink w:anchor="if3b6a78c08cc435986c2cd9f5808536f_43">
        <w:r>
          <w:rPr>
            <w:rStyle w:val="InternetLink"/>
            <w:rFonts w:ascii="Times New Roman;serif" w:hAnsi="Times New Roman;serif"/>
            <w:b w:val="false"/>
            <w:strike w:val="false"/>
            <w:dstrike w:val="false"/>
            <w:color w:val="000000"/>
            <w:sz w:val="20"/>
            <w:u w:val="none"/>
            <w:effect w:val="none"/>
          </w:rPr>
          <w:t>11</w:t>
        </w:r>
      </w:hyperlink>
      <w:r>
        <w:rPr>
          <w:rFonts w:ascii="Times New Roman;serif" w:hAnsi="Times New Roman;serif"/>
          <w:b w:val="false"/>
          <w:color w:val="000000"/>
          <w:sz w:val="20"/>
        </w:rPr>
        <w:t xml:space="preserve">. Distinguished is a full-service MGA and program administrator for specialty property and casualty insurance. Distinguished places insurance across a diversified portfolio of programs grouped into two verticals. The ScaleCo vertical consists of established programs, primarily focused on real estate and hospitality end markets. The GrowthCo vertical consists of start-up programs, focused on a diversified set of specialty property and casualty insurance products across multiple industries. On behalf of its insurance carrier partners, Distinguished manages various aspects of the placement process, including product development, marketing, underwriting and policy issuance. Distinguished earns commissions based on the volume and profitability of the insurance that it places. Distinguished does not retain insurance risk. </w:t>
      </w:r>
    </w:p>
    <w:p>
      <w:pPr>
        <w:pStyle w:val="TextBody"/>
        <w:bidi w:val="0"/>
        <w:spacing w:lineRule="auto" w:line="288" w:before="0" w:after="120"/>
        <w:jc w:val="left"/>
        <w:rPr>
          <w:rFonts w:ascii="Times New Roman;serif" w:hAnsi="Times New Roman;serif"/>
          <w:b w:val="false"/>
          <w:color w:val="000000"/>
          <w:sz w:val="20"/>
        </w:rPr>
      </w:pPr>
      <w:bookmarkStart w:id="6" w:name="i77a46f1aa81e4bbbab32126031c5305e_2112"/>
      <w:bookmarkEnd w:id="6"/>
      <w:r>
        <w:rPr>
          <w:rFonts w:ascii="Times New Roman;serif" w:hAnsi="Times New Roman;serif"/>
          <w:b w:val="false"/>
          <w:color w:val="000000"/>
          <w:sz w:val="20"/>
        </w:rPr>
        <w:t>The following table presents the components of GAAP net income (loss), ScaleCo net income (loss), ScaleCo EBITDA and ScaleCo adjusted EBITDA included in White Mountains’s Distinguished segment for the three and six months ended June 30, 2026:</w:t>
      </w:r>
    </w:p>
    <w:tbl>
      <w:tblPr>
        <w:tblW w:w="9932" w:type="dxa"/>
        <w:jc w:val="center"/>
        <w:tblInd w:w="0" w:type="dxa"/>
        <w:tblLayout w:type="fixed"/>
        <w:tblCellMar>
          <w:top w:w="28" w:type="dxa"/>
          <w:left w:w="28" w:type="dxa"/>
          <w:bottom w:w="28" w:type="dxa"/>
          <w:right w:w="28" w:type="dxa"/>
        </w:tblCellMar>
      </w:tblPr>
      <w:tblGrid>
        <w:gridCol w:w="1398"/>
        <w:gridCol w:w="1231"/>
        <w:gridCol w:w="1241"/>
        <w:gridCol w:w="109"/>
        <w:gridCol w:w="109"/>
        <w:gridCol w:w="109"/>
        <w:gridCol w:w="666"/>
        <w:gridCol w:w="1660"/>
        <w:gridCol w:w="344"/>
        <w:gridCol w:w="109"/>
        <w:gridCol w:w="109"/>
        <w:gridCol w:w="109"/>
        <w:gridCol w:w="617"/>
        <w:gridCol w:w="1539"/>
        <w:gridCol w:w="319"/>
        <w:gridCol w:w="109"/>
        <w:gridCol w:w="154"/>
      </w:tblGrid>
      <w:tr>
        <w:trPr/>
        <w:tc>
          <w:tcPr>
            <w:tcW w:w="1398"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263" w:type="dxa"/>
            <w:gridSpan w:val="2"/>
            <w:tcBorders/>
          </w:tcPr>
          <w:p>
            <w:pPr>
              <w:pStyle w:val="TableContents"/>
              <w:bidi w:val="0"/>
              <w:spacing w:before="0" w:after="283"/>
              <w:jc w:val="left"/>
              <w:rPr>
                <w:sz w:val="4"/>
                <w:szCs w:val="4"/>
              </w:rPr>
            </w:pPr>
            <w:r>
              <w:rPr>
                <w:sz w:val="4"/>
                <w:szCs w:val="4"/>
              </w:rPr>
            </w:r>
          </w:p>
        </w:tc>
      </w:tr>
      <w:tr>
        <w:trPr/>
        <w:tc>
          <w:tcPr>
            <w:tcW w:w="3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 and fee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66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56.6</w:t>
            </w:r>
            <w:r>
              <w:rPr>
                <w:color w:val="000000"/>
              </w:rPr>
              <w:t> </w:t>
            </w:r>
          </w:p>
        </w:tc>
        <w:tc>
          <w:tcPr>
            <w:tcW w:w="3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53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96.2</w:t>
            </w:r>
            <w:r>
              <w:rPr>
                <w:color w:val="000000"/>
              </w:rPr>
              <w:t> </w:t>
            </w:r>
          </w:p>
        </w:tc>
        <w:tc>
          <w:tcPr>
            <w:tcW w:w="3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w:t>
            </w:r>
            <w:r>
              <w:rPr>
                <w:color w:val="000000"/>
              </w:rPr>
              <w:t> </w:t>
            </w:r>
          </w:p>
        </w:tc>
        <w:tc>
          <w:tcPr>
            <w:tcW w:w="3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w:t>
            </w:r>
            <w:r>
              <w:rPr>
                <w:color w:val="000000"/>
              </w:rPr>
              <w:t> </w:t>
            </w:r>
          </w:p>
        </w:tc>
        <w:tc>
          <w:tcPr>
            <w:tcW w:w="3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57.4</w:t>
            </w:r>
            <w:r>
              <w:rPr>
                <w:color w:val="000000"/>
              </w:rPr>
              <w:t> </w:t>
            </w:r>
          </w:p>
        </w:tc>
        <w:tc>
          <w:tcPr>
            <w:tcW w:w="3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97.7</w:t>
            </w:r>
            <w:r>
              <w:rPr>
                <w:color w:val="000000"/>
              </w:rPr>
              <w:t> </w:t>
            </w:r>
          </w:p>
        </w:tc>
        <w:tc>
          <w:tcPr>
            <w:tcW w:w="3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 commission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23.3</w:t>
            </w:r>
            <w:r>
              <w:rPr>
                <w:color w:val="000000"/>
              </w:rPr>
              <w:t> </w:t>
            </w:r>
          </w:p>
        </w:tc>
        <w:tc>
          <w:tcPr>
            <w:tcW w:w="3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40.5</w:t>
            </w:r>
            <w:r>
              <w:rPr>
                <w:color w:val="000000"/>
              </w:rPr>
              <w:t> </w:t>
            </w:r>
          </w:p>
        </w:tc>
        <w:tc>
          <w:tcPr>
            <w:tcW w:w="3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41.0</w:t>
            </w:r>
            <w:r>
              <w:rPr>
                <w:color w:val="000000"/>
              </w:rPr>
              <w:t> </w:t>
            </w:r>
          </w:p>
        </w:tc>
        <w:tc>
          <w:tcPr>
            <w:tcW w:w="3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78.2</w:t>
            </w:r>
            <w:r>
              <w:rPr>
                <w:color w:val="000000"/>
              </w:rPr>
              <w:t> </w:t>
            </w:r>
          </w:p>
        </w:tc>
        <w:tc>
          <w:tcPr>
            <w:tcW w:w="3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w:t>
            </w:r>
            <w:r>
              <w:rPr>
                <w:color w:val="000000"/>
              </w:rPr>
              <w:t> </w:t>
            </w:r>
          </w:p>
        </w:tc>
        <w:tc>
          <w:tcPr>
            <w:tcW w:w="3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w:t>
            </w:r>
            <w:r>
              <w:rPr>
                <w:color w:val="000000"/>
              </w:rPr>
              <w:t> </w:t>
            </w:r>
          </w:p>
        </w:tc>
        <w:tc>
          <w:tcPr>
            <w:tcW w:w="3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67.9</w:t>
            </w:r>
            <w:r>
              <w:rPr>
                <w:color w:val="000000"/>
              </w:rPr>
              <w:t> </w:t>
            </w:r>
          </w:p>
        </w:tc>
        <w:tc>
          <w:tcPr>
            <w:tcW w:w="3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125.8</w:t>
            </w:r>
            <w:r>
              <w:rPr>
                <w:color w:val="000000"/>
              </w:rPr>
              <w:t> </w:t>
            </w:r>
          </w:p>
        </w:tc>
        <w:tc>
          <w:tcPr>
            <w:tcW w:w="3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GAAP pre-tax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(10.5)</w:t>
            </w:r>
          </w:p>
        </w:tc>
        <w:tc>
          <w:tcPr>
            <w:tcW w:w="3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(28.1)</w:t>
            </w:r>
          </w:p>
        </w:tc>
        <w:tc>
          <w:tcPr>
            <w:tcW w:w="3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w:t>
            </w:r>
            <w:r>
              <w:rPr>
                <w:color w:val="000000"/>
              </w:rPr>
              <w:t> </w:t>
            </w:r>
          </w:p>
        </w:tc>
        <w:tc>
          <w:tcPr>
            <w:tcW w:w="3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w:t>
            </w:r>
            <w:r>
              <w:rPr>
                <w:color w:val="000000"/>
              </w:rPr>
              <w:t> </w:t>
            </w:r>
          </w:p>
        </w:tc>
        <w:tc>
          <w:tcPr>
            <w:tcW w:w="3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(9.8)</w:t>
            </w:r>
          </w:p>
        </w:tc>
        <w:tc>
          <w:tcPr>
            <w:tcW w:w="3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(24.2)</w:t>
            </w:r>
          </w:p>
        </w:tc>
        <w:tc>
          <w:tcPr>
            <w:tcW w:w="3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Exclude: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GrowthCo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w:t>
            </w:r>
            <w:r>
              <w:rPr>
                <w:color w:val="000000"/>
              </w:rPr>
              <w:t> </w:t>
            </w:r>
          </w:p>
        </w:tc>
        <w:tc>
          <w:tcPr>
            <w:tcW w:w="3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18.2</w:t>
            </w:r>
            <w:r>
              <w:rPr>
                <w:color w:val="000000"/>
              </w:rPr>
              <w:t> </w:t>
            </w:r>
          </w:p>
        </w:tc>
        <w:tc>
          <w:tcPr>
            <w:tcW w:w="3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ScaleCo net income (loss) </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w:t>
            </w:r>
            <w:r>
              <w:rPr>
                <w:color w:val="000000"/>
              </w:rPr>
              <w:t> </w:t>
            </w:r>
          </w:p>
        </w:tc>
        <w:tc>
          <w:tcPr>
            <w:tcW w:w="3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(6.0)</w:t>
            </w:r>
          </w:p>
        </w:tc>
        <w:tc>
          <w:tcPr>
            <w:tcW w:w="3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back: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w:t>
            </w:r>
            <w:r>
              <w:rPr>
                <w:color w:val="000000"/>
              </w:rPr>
              <w:t> </w:t>
            </w:r>
          </w:p>
        </w:tc>
        <w:tc>
          <w:tcPr>
            <w:tcW w:w="3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w:t>
            </w:r>
            <w:r>
              <w:rPr>
                <w:color w:val="000000"/>
              </w:rPr>
              <w:t> </w:t>
            </w:r>
          </w:p>
        </w:tc>
        <w:tc>
          <w:tcPr>
            <w:tcW w:w="3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w:t>
            </w:r>
          </w:p>
        </w:tc>
        <w:tc>
          <w:tcPr>
            <w:tcW w:w="3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(3.9)</w:t>
            </w:r>
          </w:p>
        </w:tc>
        <w:tc>
          <w:tcPr>
            <w:tcW w:w="3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3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3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other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w:t>
            </w:r>
            <w:r>
              <w:rPr>
                <w:color w:val="000000"/>
              </w:rPr>
              <w:t> </w:t>
            </w:r>
          </w:p>
        </w:tc>
        <w:tc>
          <w:tcPr>
            <w:tcW w:w="3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w:t>
            </w:r>
            <w:r>
              <w:rPr>
                <w:color w:val="000000"/>
              </w:rPr>
              <w:t> </w:t>
            </w:r>
          </w:p>
        </w:tc>
        <w:tc>
          <w:tcPr>
            <w:tcW w:w="3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ScaleCo EBITDA </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w:t>
            </w:r>
            <w:r>
              <w:rPr>
                <w:color w:val="000000"/>
              </w:rPr>
              <w:t> </w:t>
            </w:r>
          </w:p>
        </w:tc>
        <w:tc>
          <w:tcPr>
            <w:tcW w:w="3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w:t>
            </w:r>
            <w:r>
              <w:rPr>
                <w:color w:val="000000"/>
              </w:rPr>
              <w:t> </w:t>
            </w:r>
          </w:p>
        </w:tc>
        <w:tc>
          <w:tcPr>
            <w:tcW w:w="31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Exclude: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equity-based compensation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w:t>
            </w:r>
            <w:r>
              <w:rPr>
                <w:color w:val="000000"/>
              </w:rPr>
              <w:t> </w:t>
            </w:r>
          </w:p>
        </w:tc>
        <w:tc>
          <w:tcPr>
            <w:tcW w:w="3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w:t>
            </w:r>
            <w:r>
              <w:rPr>
                <w:color w:val="000000"/>
              </w:rPr>
              <w:t> </w:t>
            </w:r>
          </w:p>
        </w:tc>
        <w:tc>
          <w:tcPr>
            <w:tcW w:w="3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Restructuring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w:t>
            </w:r>
            <w:r>
              <w:rPr>
                <w:color w:val="000000"/>
              </w:rPr>
              <w:t> </w:t>
            </w:r>
          </w:p>
        </w:tc>
        <w:tc>
          <w:tcPr>
            <w:tcW w:w="3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settlement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660"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3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539"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3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 xml:space="preserve">ScaleCo adjusted EBITDA </w:t>
            </w:r>
            <w:r>
              <w:rPr>
                <w:rFonts w:ascii="Times New Roman;serif" w:hAnsi="Times New Roman;serif"/>
                <w:b w:val="false"/>
                <w:color w:val="000000"/>
                <w:sz w:val="10"/>
              </w:rPr>
              <w:t>(1)</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66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w:t>
            </w:r>
            <w:r>
              <w:rPr>
                <w:color w:val="000000"/>
              </w:rPr>
              <w:t> </w:t>
            </w:r>
          </w:p>
        </w:tc>
        <w:tc>
          <w:tcPr>
            <w:tcW w:w="3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53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16.8</w:t>
            </w:r>
            <w:r>
              <w:rPr>
                <w:color w:val="000000"/>
              </w:rPr>
              <w:t> </w:t>
            </w:r>
          </w:p>
        </w:tc>
        <w:tc>
          <w:tcPr>
            <w:tcW w:w="3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135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 xml:space="preserve">See </w:t>
      </w:r>
      <w:r>
        <w:rPr>
          <w:color w:val="000000"/>
        </w:rPr>
        <w:t>“</w:t>
      </w:r>
      <w:r>
        <w:rPr>
          <w:rFonts w:ascii="Times New Roman;serif" w:hAnsi="Times New Roman;serif"/>
          <w:b/>
          <w:color w:val="000000"/>
          <w:sz w:val="16"/>
        </w:rPr>
        <w:t>NON-GAAP FINANCIAL MEASURES”</w:t>
      </w:r>
      <w:r>
        <w:rPr>
          <w:color w:val="000000"/>
        </w:rPr>
        <w:t xml:space="preserve"> </w:t>
      </w:r>
      <w:r>
        <w:rPr>
          <w:rFonts w:ascii="Times New Roman;serif" w:hAnsi="Times New Roman;serif"/>
          <w:b w:val="false"/>
          <w:color w:val="000000"/>
          <w:sz w:val="16"/>
        </w:rPr>
        <w:t>on page </w:t>
      </w:r>
      <w:hyperlink w:anchor="if3b6a78c08cc435986c2cd9f5808536f_190">
        <w:r>
          <w:rPr>
            <w:rStyle w:val="InternetLink"/>
            <w:rFonts w:ascii="Times New Roman;serif" w:hAnsi="Times New Roman;serif"/>
            <w:b w:val="false"/>
            <w:strike w:val="false"/>
            <w:dstrike w:val="false"/>
            <w:color w:val="000000"/>
            <w:sz w:val="16"/>
            <w:u w:val="none"/>
            <w:effect w:val="none"/>
          </w:rPr>
          <w:t>87</w:t>
        </w:r>
      </w:hyperlink>
      <w:r>
        <w:rPr>
          <w:rFonts w:ascii="Times New Roman;serif" w:hAnsi="Times New Roman;serif"/>
          <w:b w:val="false"/>
          <w:color w:val="000000"/>
          <w:sz w:val="16"/>
        </w:rPr>
        <w:t>.</w:t>
      </w:r>
    </w:p>
    <w:p>
      <w:pPr>
        <w:pStyle w:val="TextBody"/>
        <w:bidi w:val="0"/>
        <w:spacing w:before="0" w:after="0"/>
        <w:jc w:val="center"/>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Distinguished Results – Three Months Ended June 30, 2026</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Distinguished reported commission and fee revenues of $57 million, pre-tax loss of $11 million, and ScaleCo adjusted EBITDA of $12 million in the second quarter of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Distinguished Results – Six Months Ended June 30, 2026</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Distinguished reported commission and fee revenues of $96 million, pre-tax loss of $28 million, and ScaleCo adjusted EBITDA of $17 million in the first six months of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Managed Premiums and Commission and Fee Revenues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managed premiums, which represent the total premiums placed by Distinguished, and commission and fee revenues by vertical for the three and six months ended June 30, 2026:</w:t>
      </w:r>
    </w:p>
    <w:tbl>
      <w:tblPr>
        <w:tblW w:w="10158" w:type="dxa"/>
        <w:jc w:val="center"/>
        <w:tblInd w:w="0" w:type="dxa"/>
        <w:tblLayout w:type="fixed"/>
        <w:tblCellMar>
          <w:top w:w="28" w:type="dxa"/>
          <w:left w:w="28" w:type="dxa"/>
          <w:bottom w:w="28" w:type="dxa"/>
          <w:right w:w="28" w:type="dxa"/>
        </w:tblCellMar>
      </w:tblPr>
      <w:tblGrid>
        <w:gridCol w:w="346"/>
        <w:gridCol w:w="305"/>
        <w:gridCol w:w="310"/>
        <w:gridCol w:w="109"/>
        <w:gridCol w:w="109"/>
        <w:gridCol w:w="109"/>
        <w:gridCol w:w="342"/>
        <w:gridCol w:w="1025"/>
        <w:gridCol w:w="177"/>
        <w:gridCol w:w="137"/>
        <w:gridCol w:w="137"/>
        <w:gridCol w:w="137"/>
        <w:gridCol w:w="576"/>
        <w:gridCol w:w="1437"/>
        <w:gridCol w:w="297"/>
        <w:gridCol w:w="109"/>
        <w:gridCol w:w="109"/>
        <w:gridCol w:w="109"/>
        <w:gridCol w:w="343"/>
        <w:gridCol w:w="1026"/>
        <w:gridCol w:w="176"/>
        <w:gridCol w:w="126"/>
        <w:gridCol w:w="126"/>
        <w:gridCol w:w="126"/>
        <w:gridCol w:w="558"/>
        <w:gridCol w:w="1392"/>
        <w:gridCol w:w="405"/>
      </w:tblGrid>
      <w:tr>
        <w:trPr/>
        <w:tc>
          <w:tcPr>
            <w:tcW w:w="3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r>
      <w:tr>
        <w:trPr/>
        <w:tc>
          <w:tcPr>
            <w:tcW w:w="961"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Managed Premiums</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Commission and Fee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Managed Premiums</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Commission and Fee Revenues</w:t>
            </w:r>
          </w:p>
        </w:tc>
      </w:tr>
      <w:tr>
        <w:trPr/>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ScaleCo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5"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157.8</w:t>
            </w:r>
            <w:r>
              <w:rPr>
                <w:color w:val="000000"/>
              </w:rPr>
              <w:t> </w:t>
            </w:r>
          </w:p>
        </w:tc>
        <w:tc>
          <w:tcPr>
            <w:tcW w:w="17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37"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45.1</w:t>
            </w:r>
            <w:r>
              <w:rPr>
                <w:color w:val="000000"/>
              </w:rPr>
              <w:t> </w:t>
            </w:r>
          </w:p>
        </w:tc>
        <w:tc>
          <w:tcPr>
            <w:tcW w:w="29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6"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264.3</w:t>
            </w:r>
            <w:r>
              <w:rPr>
                <w:color w:val="000000"/>
              </w:rPr>
              <w:t> </w:t>
            </w:r>
          </w:p>
        </w:tc>
        <w:tc>
          <w:tcPr>
            <w:tcW w:w="17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92" w:type="dxa"/>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75.6</w:t>
            </w:r>
            <w:r>
              <w:rPr>
                <w:color w:val="000000"/>
              </w:rPr>
              <w:t> </w:t>
            </w:r>
          </w:p>
        </w:tc>
        <w:tc>
          <w:tcPr>
            <w:tcW w:w="40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GrowthCo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tcMar>
              <w:top w:w="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31.5</w:t>
            </w:r>
            <w:r>
              <w:rPr>
                <w:color w:val="000000"/>
              </w:rPr>
              <w:t>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3" w:type="dxa"/>
            <w:gridSpan w:val="2"/>
            <w:tcBorders/>
            <w:tcMar>
              <w:top w:w="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11.5</w:t>
            </w:r>
            <w:r>
              <w:rPr>
                <w:color w:val="000000"/>
              </w:rPr>
              <w:t> </w:t>
            </w:r>
          </w:p>
        </w:tc>
        <w:tc>
          <w:tcPr>
            <w:tcW w:w="29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tcMar>
              <w:top w:w="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56.6</w:t>
            </w: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2"/>
            <w:tcBorders/>
            <w:tcMar>
              <w:top w:w="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20.6</w:t>
            </w:r>
            <w:r>
              <w:rPr>
                <w:color w:val="000000"/>
              </w:rPr>
              <w:t> </w:t>
            </w:r>
          </w:p>
        </w:tc>
        <w:tc>
          <w:tcPr>
            <w:tcW w:w="4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1"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68" w:before="0" w:after="0"/>
              <w:jc w:val="left"/>
              <w:rPr>
                <w:color w:val="000000"/>
              </w:rPr>
            </w:pPr>
            <w:r>
              <w:rPr>
                <w:color w:val="000000"/>
              </w:rPr>
              <w:t>   </w:t>
            </w:r>
            <w:r>
              <w:rPr>
                <w:rFonts w:ascii="Times New Roman;serif" w:hAnsi="Times New Roman;serif"/>
                <w:b w:val="false"/>
                <w:color w:val="000000"/>
                <w:sz w:val="20"/>
              </w:rPr>
              <w:t>Total</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189.3</w:t>
            </w:r>
            <w:r>
              <w:rPr>
                <w:color w:val="000000"/>
              </w:rPr>
              <w:t> </w:t>
            </w:r>
          </w:p>
        </w:tc>
        <w:tc>
          <w:tcPr>
            <w:tcW w:w="1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4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56.6</w:t>
            </w:r>
            <w:r>
              <w:rPr>
                <w:color w:val="000000"/>
              </w:rPr>
              <w:t> </w:t>
            </w:r>
          </w:p>
        </w:tc>
        <w:tc>
          <w:tcPr>
            <w:tcW w:w="29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320.9</w:t>
            </w:r>
            <w:r>
              <w:rPr>
                <w:color w:val="000000"/>
              </w:rPr>
              <w:t> </w:t>
            </w:r>
          </w:p>
        </w:tc>
        <w:tc>
          <w:tcPr>
            <w:tcW w:w="1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9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20"/>
              </w:rPr>
              <w:t>96.2</w:t>
            </w:r>
            <w:r>
              <w:rPr>
                <w:color w:val="000000"/>
              </w:rPr>
              <w:t> </w:t>
            </w:r>
          </w:p>
        </w:tc>
        <w:tc>
          <w:tcPr>
            <w:tcW w:w="4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Distinguished’s managed premiums increased 13% in the second quarter of 2026 compared to the second quarter of 2025 and 10% in the first six months of 2026 compared to the first six months of 2025. Distinguished had strong growth in the environmental and urban real estate programs, partially offset by a decline in the umbrella program. As of June 30, 2026, on a trailing 12 months basis, Distinguished reported total managed premiums of $598 million, which increased 4% quarter-over-quarter. These figures include periods prior to White Mountains’s ownership of Distinguished, which White Mountains believes is useful in understanding Distinguished’s performance.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7" w:name="i2049b07efe7f43eb837ccc30854ba22b_22760"/>
      <w:bookmarkEnd w:id="7"/>
      <w:r>
        <w:rPr>
          <w:rFonts w:ascii="Times New Roman;serif" w:hAnsi="Times New Roman;serif"/>
          <w:b/>
          <w:color w:val="000000"/>
          <w:sz w:val="20"/>
        </w:rPr>
        <w:t>WTM Partners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WTM Partners acquires and manages businesses on behalf of White Mountains in non-financial services sectors including essential services, light industrial and specialty consumer. In the second quarter of 2026, WTM Partners closed two new acquisitions. The acquisition of Basesix, a low voltage contracting platform, closed on April 1, 2026. WTM Partners deployed $97 million into Basesix. Enterprise Solutions’s bolt-on acquisition of Hawkeye Electric, a provider of specialty electrical contracting services, closed on May 1, 2026. WTM Partners deployed $35 million into Enterprise Solutions to fund the acquisition of Hawkeye Electric. As of June 30, 2026, WTM Partners has deployed roughly $200 million of equity capital. See </w:t>
      </w:r>
      <w:r>
        <w:rPr>
          <w:rFonts w:ascii="Times New Roman;serif" w:hAnsi="Times New Roman;serif"/>
          <w:b/>
          <w:color w:val="000000"/>
          <w:sz w:val="20"/>
        </w:rPr>
        <w:t>Note 2 — “Significant Transactions.”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Beginning in the second quarter of 2026, in conjunction with the acquisitions of Basesix and Hawkeye Electric, WTM Partners is presented as a separate reportable segment. Prior period amounts have been reclassified to conform to the current period presentation.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components of GAAP net income (loss), EBITDA and adjusted EBITDA included in the WTM Partners segment for the three and six months ended June 30, 2026 and 2025. These figures include results for periods subsequent to the acquisitions of Enterprise Solutions on April 1, 2025, Basesix on April 1, 2026 and Hawkeye Electric on May 1, 2026.</w:t>
      </w:r>
    </w:p>
    <w:tbl>
      <w:tblPr>
        <w:tblW w:w="8482" w:type="dxa"/>
        <w:jc w:val="left"/>
        <w:tblInd w:w="0" w:type="dxa"/>
        <w:tblLayout w:type="fixed"/>
        <w:tblCellMar>
          <w:top w:w="28" w:type="dxa"/>
          <w:left w:w="28" w:type="dxa"/>
          <w:bottom w:w="28" w:type="dxa"/>
          <w:right w:w="28" w:type="dxa"/>
        </w:tblCellMar>
      </w:tblPr>
      <w:tblGrid>
        <w:gridCol w:w="1193"/>
        <w:gridCol w:w="1048"/>
        <w:gridCol w:w="1059"/>
        <w:gridCol w:w="109"/>
        <w:gridCol w:w="109"/>
        <w:gridCol w:w="109"/>
        <w:gridCol w:w="238"/>
        <w:gridCol w:w="594"/>
        <w:gridCol w:w="123"/>
        <w:gridCol w:w="123"/>
        <w:gridCol w:w="123"/>
        <w:gridCol w:w="123"/>
        <w:gridCol w:w="238"/>
        <w:gridCol w:w="577"/>
        <w:gridCol w:w="123"/>
        <w:gridCol w:w="109"/>
        <w:gridCol w:w="109"/>
        <w:gridCol w:w="109"/>
        <w:gridCol w:w="211"/>
        <w:gridCol w:w="631"/>
        <w:gridCol w:w="109"/>
        <w:gridCol w:w="109"/>
        <w:gridCol w:w="109"/>
        <w:gridCol w:w="109"/>
        <w:gridCol w:w="211"/>
        <w:gridCol w:w="511"/>
        <w:gridCol w:w="266"/>
      </w:tblGrid>
      <w:tr>
        <w:trPr/>
        <w:tc>
          <w:tcPr>
            <w:tcW w:w="1193"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bookmarkStart w:id="8" w:name="ib5616325a43c4dc2b2a6cc3d6f1bd2de_0-0-22"/>
            <w:bookmarkStart w:id="9" w:name="ib5616325a43c4dc2b2a6cc3d6f1bd2de_0-0-22"/>
            <w:bookmarkEnd w:id="9"/>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3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and service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92.8</w:t>
            </w:r>
            <w:r>
              <w:rPr>
                <w:color w:val="000000"/>
              </w:rPr>
              <w:t>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2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ind w:left="0" w:right="0" w:firstLine="135"/>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92.8</w:t>
            </w:r>
            <w:r>
              <w:rPr>
                <w:color w:val="000000"/>
              </w:rPr>
              <w:t>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2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72.6</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66" w:type="dxa"/>
            <w:tcBorders/>
            <w:tcMar>
              <w:top w:w="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88.7</w:t>
            </w:r>
            <w:r>
              <w:rPr>
                <w:color w:val="000000"/>
              </w:rPr>
              <w:t>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44.9 </w:t>
            </w:r>
          </w:p>
        </w:tc>
        <w:tc>
          <w:tcPr>
            <w:tcW w:w="266"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GAAP pre-tax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w:t>
            </w:r>
            <w:r>
              <w:rPr>
                <w:color w:val="000000"/>
              </w:rPr>
              <w:t>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2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66" w:type="dxa"/>
            <w:tcBorders/>
            <w:tcMar>
              <w:top w:w="0" w:type="dxa"/>
              <w:left w:w="0" w:type="dxa"/>
              <w:bottom w:w="0" w:type="dxa"/>
              <w:right w:w="0" w:type="dxa"/>
            </w:tcMar>
            <w:vAlign w:val="center"/>
          </w:tcPr>
          <w:p>
            <w:pPr>
              <w:pStyle w:val="TableContents"/>
              <w:bidi w:val="0"/>
              <w:spacing w:before="0" w:after="283"/>
              <w:ind w:left="0" w:right="0" w:firstLine="135"/>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w:t>
            </w:r>
            <w:r>
              <w:rPr>
                <w:color w:val="000000"/>
              </w:rPr>
              <w:t>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2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Add back: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66" w:type="dxa"/>
            <w:tcBorders/>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266" w:type="dxa"/>
            <w:tcBorders/>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66" w:type="dxa"/>
            <w:tcBorders/>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other intangible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68" w:before="0" w:after="0"/>
              <w:ind w:left="0" w:right="0" w:firstLine="255"/>
              <w:jc w:val="left"/>
              <w:rPr/>
            </w:pPr>
            <w:r>
              <w:rPr>
                <w:rFonts w:ascii="Times New Roman;serif" w:hAnsi="Times New Roman;serif"/>
                <w:b w:val="false"/>
                <w:color w:val="000000"/>
                <w:sz w:val="20"/>
              </w:rPr>
              <w:t xml:space="preserve">EBITDA </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6.5</w:t>
            </w:r>
            <w:r>
              <w:rPr>
                <w:color w:val="000000"/>
              </w:rPr>
              <w:t>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Exclude: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66" w:type="dxa"/>
            <w:tcBorders/>
            <w:tcMar>
              <w:top w:w="0" w:type="dxa"/>
              <w:left w:w="0" w:type="dxa"/>
              <w:bottom w:w="0" w:type="dxa"/>
              <w:right w:w="0" w:type="dxa"/>
            </w:tcMar>
            <w:vAlign w:val="center"/>
          </w:tcPr>
          <w:p>
            <w:pPr>
              <w:pStyle w:val="TableContents"/>
              <w:bidi w:val="0"/>
              <w:spacing w:before="0" w:after="283"/>
              <w:ind w:left="0" w:right="0" w:firstLine="120"/>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integration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68" w:before="0" w:after="0"/>
              <w:ind w:left="0" w:right="0" w:firstLine="120"/>
              <w:jc w:val="left"/>
              <w:rPr/>
            </w:pPr>
            <w:r>
              <w:rPr>
                <w:rFonts w:ascii="Times New Roman;serif" w:hAnsi="Times New Roman;serif"/>
                <w:b w:val="false"/>
                <w:color w:val="000000"/>
                <w:sz w:val="20"/>
              </w:rPr>
              <w:t xml:space="preserve">Adjusted EBITDA </w:t>
            </w:r>
            <w:r>
              <w:rPr>
                <w:rFonts w:ascii="Times New Roman;serif" w:hAnsi="Times New Roman;serif"/>
                <w:b w:val="false"/>
                <w:color w:val="000000"/>
                <w:sz w:val="10"/>
              </w:rPr>
              <w:t>(1)</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9.2</w:t>
            </w:r>
            <w:r>
              <w:rPr>
                <w:color w:val="000000"/>
              </w:rPr>
              <w:t> </w:t>
            </w:r>
          </w:p>
        </w:tc>
        <w:tc>
          <w:tcPr>
            <w:tcW w:w="1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 xml:space="preserve">See </w:t>
      </w:r>
      <w:r>
        <w:rPr>
          <w:color w:val="000000"/>
        </w:rPr>
        <w:t>“</w:t>
      </w:r>
      <w:r>
        <w:rPr>
          <w:rFonts w:ascii="Times New Roman;serif" w:hAnsi="Times New Roman;serif"/>
          <w:b/>
          <w:color w:val="000000"/>
          <w:sz w:val="16"/>
        </w:rPr>
        <w:t>NON-GAAP FINANCIAL MEASURES”</w:t>
      </w:r>
      <w:r>
        <w:rPr>
          <w:color w:val="000000"/>
        </w:rPr>
        <w:t xml:space="preserve"> </w:t>
      </w:r>
      <w:r>
        <w:rPr>
          <w:rFonts w:ascii="Times New Roman;serif" w:hAnsi="Times New Roman;serif"/>
          <w:b w:val="false"/>
          <w:color w:val="000000"/>
          <w:sz w:val="16"/>
        </w:rPr>
        <w:t xml:space="preserve">on page </w:t>
      </w:r>
      <w:hyperlink w:anchor="if3b6a78c08cc435986c2cd9f5808536f_190">
        <w:r>
          <w:rPr>
            <w:rStyle w:val="InternetLink"/>
            <w:rFonts w:ascii="Times New Roman;serif" w:hAnsi="Times New Roman;serif"/>
            <w:b w:val="false"/>
            <w:strike w:val="false"/>
            <w:dstrike w:val="false"/>
            <w:color w:val="000000"/>
            <w:sz w:val="16"/>
            <w:u w:val="none"/>
            <w:effect w:val="none"/>
          </w:rPr>
          <w:t>87</w:t>
        </w:r>
      </w:hyperlink>
      <w:r>
        <w:rPr>
          <w:rFonts w:ascii="Times New Roman;serif" w:hAnsi="Times New Roman;serif"/>
          <w:b w:val="false"/>
          <w:color w:val="000000"/>
          <w:sz w:val="16"/>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WTM Partners Results—Three Months Ended June 30, 2026 versus Three Months Ended June 30, 2025</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WTM Partners reported total revenues of $93 million, pre-tax income of $4 million and adjusted EBITDA of $9 million in the second quarter of 2026 compared to total revenues of $43 million, pre-tax income of $1 million and adjusted EBITDA of $3 million in the second quarter of 2025. The increases were driven by solid organic growth at Enterprise Solutions and the acquisitions of Basesix and Hawkeye Electric in the second quarter of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WTM Partners Results—Six Months Ended June 30, 2026 versus Six Months Ended June 30, 2025</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WTM Partners reported total revenues of $137 million, pre-tax income of $2 million and adjusted EBITDA of $11 million in the first six months of 2026 compared to total revenues of $43 million, pre-tax loss of $2 million and adjusted EBITDA of $2 million in the first six months of 2025. The increases were driven by solid organic growth at Enterprise Solutions and the acquisitions of Basesix and Hawkeye Electric in the second quarter of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Other Operations </w:t>
      </w:r>
    </w:p>
    <w:p>
      <w:pPr>
        <w:pStyle w:val="TextBody"/>
        <w:bidi w:val="0"/>
        <w:spacing w:before="0" w:after="0"/>
        <w:jc w:val="left"/>
        <w:rPr/>
      </w:pPr>
      <w:r>
        <w:rPr/>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components of pre-tax income (loss) included in White Mountains’s Other Operations for the three and six months ended June 30, 2026 and 2025: </w:t>
      </w:r>
    </w:p>
    <w:tbl>
      <w:tblPr>
        <w:tblW w:w="9450" w:type="dxa"/>
        <w:jc w:val="center"/>
        <w:tblInd w:w="0" w:type="dxa"/>
        <w:tblLayout w:type="fixed"/>
        <w:tblCellMar>
          <w:top w:w="28" w:type="dxa"/>
          <w:left w:w="28" w:type="dxa"/>
          <w:bottom w:w="28" w:type="dxa"/>
          <w:right w:w="28" w:type="dxa"/>
        </w:tblCellMar>
      </w:tblPr>
      <w:tblGrid>
        <w:gridCol w:w="1593"/>
        <w:gridCol w:w="1400"/>
        <w:gridCol w:w="1416"/>
        <w:gridCol w:w="109"/>
        <w:gridCol w:w="109"/>
        <w:gridCol w:w="109"/>
        <w:gridCol w:w="226"/>
        <w:gridCol w:w="677"/>
        <w:gridCol w:w="117"/>
        <w:gridCol w:w="117"/>
        <w:gridCol w:w="117"/>
        <w:gridCol w:w="117"/>
        <w:gridCol w:w="226"/>
        <w:gridCol w:w="549"/>
        <w:gridCol w:w="117"/>
        <w:gridCol w:w="109"/>
        <w:gridCol w:w="109"/>
        <w:gridCol w:w="109"/>
        <w:gridCol w:w="211"/>
        <w:gridCol w:w="526"/>
        <w:gridCol w:w="109"/>
        <w:gridCol w:w="109"/>
        <w:gridCol w:w="109"/>
        <w:gridCol w:w="109"/>
        <w:gridCol w:w="211"/>
        <w:gridCol w:w="586"/>
        <w:gridCol w:w="154"/>
      </w:tblGrid>
      <w:tr>
        <w:trPr/>
        <w:tc>
          <w:tcPr>
            <w:tcW w:w="1593"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Earned insurance premiums </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w:t>
            </w:r>
            <w:r>
              <w:rPr>
                <w:color w:val="000000"/>
              </w:rPr>
              <w:t>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and unrealized investment gains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72.4</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and unrealized investment gains (losses)</w:t>
              <w:br/>
              <w:t>   from investment in MediaAlpha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58.4</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Commission and fee revenues </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and services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14.7</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gain on sale of the Bamboo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revenues</w:t>
            </w:r>
            <w:r>
              <w:rPr>
                <w:color w:val="000000"/>
              </w:rPr>
              <w:t xml:space="preserve"> </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165.5</w:t>
            </w:r>
            <w:r>
              <w:rPr>
                <w:color w:val="000000"/>
              </w:rPr>
              <w:t>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142.8</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Loss and LAE </w:t>
            </w:r>
            <w:r>
              <w:rPr>
                <w:rFonts w:ascii="Times New Roman;serif" w:hAnsi="Times New Roman;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Insurance acquisition expenses </w:t>
            </w:r>
            <w:r>
              <w:rPr>
                <w:rFonts w:ascii="Times New Roman;serif" w:hAnsi="Times New Roman;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Amortization of other intangible assets </w:t>
            </w:r>
            <w:r>
              <w:rPr>
                <w:rFonts w:ascii="Times New Roman;serif" w:hAnsi="Times New Roman;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General and administrative expenses </w:t>
            </w:r>
            <w:r>
              <w:rPr>
                <w:rFonts w:ascii="Times New Roman;serif" w:hAnsi="Times New Roman;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41.2</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46.4 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85.7</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50.6</w:t>
            </w:r>
            <w:r>
              <w:rPr>
                <w:color w:val="000000"/>
              </w:rPr>
              <w:t>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56.8 </w:t>
            </w:r>
          </w:p>
        </w:tc>
        <w:tc>
          <w:tcPr>
            <w:tcW w:w="11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Pre-tax income (loss)</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7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114.9</w:t>
            </w:r>
            <w:r>
              <w:rPr>
                <w:color w:val="000000"/>
              </w:rPr>
              <w:t> </w:t>
            </w:r>
          </w:p>
        </w:tc>
        <w:tc>
          <w:tcPr>
            <w:tcW w:w="1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34.6 </w:t>
            </w:r>
          </w:p>
        </w:tc>
        <w:tc>
          <w:tcPr>
            <w:tcW w:w="1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37.8</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Other Operations’s earned insurance premiums and commission and fee revenues are included in other revenues in the consolidated statement of operations.</w:t>
      </w:r>
    </w:p>
    <w:p>
      <w:pPr>
        <w:pStyle w:val="TextBody"/>
        <w:bidi w:val="0"/>
        <w:spacing w:lineRule="auto" w:line="268" w:before="0" w:after="0"/>
        <w:ind w:left="0" w:right="0" w:hanging="27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 xml:space="preserve">Other Operations’s loss and LAE, insurance acquisition expenses and amortization of other intangible assets are included in general and administrative expenses in the consolidated statement of operations. </w:t>
      </w:r>
    </w:p>
    <w:p>
      <w:pPr>
        <w:pStyle w:val="TextBody"/>
        <w:bidi w:val="0"/>
        <w:spacing w:before="0" w:after="0"/>
        <w:ind w:left="0" w:right="0" w:hanging="360"/>
        <w:jc w:val="left"/>
        <w:rPr/>
      </w:pPr>
      <w:r>
        <w:rPr/>
      </w:r>
    </w:p>
    <w:p>
      <w:pPr>
        <w:pStyle w:val="TextBody"/>
        <w:bidi w:val="0"/>
        <w:spacing w:before="0" w:after="0"/>
        <w:ind w:left="0" w:right="0" w:hanging="18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Other Operations Results—Three Months Ended June 30, 2026 versus Three Months Ended June 30, 2025 </w:t>
      </w:r>
    </w:p>
    <w:p>
      <w:pPr>
        <w:pStyle w:val="TextBody"/>
        <w:bidi w:val="0"/>
        <w:spacing w:lineRule="auto" w:line="288" w:before="0" w:after="0"/>
        <w:jc w:val="left"/>
        <w:rPr/>
      </w:pPr>
      <w:r>
        <w:rPr>
          <w:rFonts w:ascii="Times New Roman;serif" w:hAnsi="Times New Roman;serif"/>
          <w:b w:val="false"/>
          <w:color w:val="000000"/>
          <w:sz w:val="20"/>
        </w:rPr>
        <w:t xml:space="preserve">White Mountains’s Other Operations reported pre-tax income of $115 million in the second quarter of 2026 compared to $35 million in the second quarter of 2025. White Mountains’s Other Operations reported net realized and unrealized investment gains of $72 million in the second quarter of 2026 compared to $32 million in the second quarter of 2025. The increase in net realized and unrealized investment gains was driven primarily by net unrealized investment gains from other-long term investments and common equity securities. White Mountains’s Other Operations reported unrealized investment gains from its investment in MediaAlpha of $58 million in the second quarter of 2026 compared to $31 million in the second quarter of 2025. White Mountains’s Other Operations reported net investment income of $16 million in the second quarter of 2026 compared to $9 million in the second quarter of 2025. See </w:t>
      </w:r>
      <w:r>
        <w:rPr>
          <w:rFonts w:ascii="Times New Roman;serif" w:hAnsi="Times New Roman;serif"/>
          <w:b/>
          <w:color w:val="000000"/>
          <w:sz w:val="20"/>
        </w:rPr>
        <w:t xml:space="preserve">Summary of Investment Results </w:t>
      </w:r>
      <w:r>
        <w:rPr>
          <w:rFonts w:ascii="Times New Roman;serif" w:hAnsi="Times New Roman;serif"/>
          <w:b w:val="false"/>
          <w:color w:val="000000"/>
          <w:sz w:val="20"/>
        </w:rPr>
        <w:t xml:space="preserve">on page </w:t>
      </w:r>
      <w:hyperlink w:anchor="if3b6a78c08cc435986c2cd9f5808536f_172">
        <w:r>
          <w:rPr>
            <w:rStyle w:val="InternetLink"/>
            <w:rFonts w:ascii="Times New Roman;serif" w:hAnsi="Times New Roman;serif"/>
            <w:b w:val="false"/>
            <w:strike w:val="false"/>
            <w:dstrike w:val="false"/>
            <w:color w:val="000000"/>
            <w:sz w:val="20"/>
            <w:u w:val="none"/>
            <w:effect w:val="none"/>
          </w:rPr>
          <w:t>78</w:t>
        </w:r>
      </w:hyperlink>
      <w:r>
        <w:rPr>
          <w:rFonts w:ascii="Times New Roman;serif" w:hAnsi="Times New Roman;serif"/>
          <w:b w:val="false"/>
          <w:color w:val="000000"/>
          <w:sz w:val="20"/>
        </w:rPr>
        <w:t xml:space="preserv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White Mountains’s Other Operations reported general and administrative expenses of $41 million in the second quarter of 2026 compared to $46 million in the second quarter of 2025. Other Operations general and administrative expenses in the second quarter of 2026 included $20 million of parent company compensation and benefits compared to $21 million in the second quarter of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Share Repurchases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the second quarter of 2026, White Mountains repurchased and retired 91,194 of its common shares for $191 million at an average share price of $2,092.72, or 93% of White Mountains’s June 30, 2026 book value per share.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Other Operations Results—Six Months Ended June 30, 2026 versus Six Months Ended June 30, 2025 </w:t>
      </w:r>
    </w:p>
    <w:p>
      <w:pPr>
        <w:pStyle w:val="TextBody"/>
        <w:bidi w:val="0"/>
        <w:spacing w:lineRule="auto" w:line="288" w:before="0" w:after="0"/>
        <w:jc w:val="left"/>
        <w:rPr/>
      </w:pPr>
      <w:r>
        <w:rPr>
          <w:rFonts w:ascii="Times New Roman;serif" w:hAnsi="Times New Roman;serif"/>
          <w:b w:val="false"/>
          <w:color w:val="000000"/>
          <w:sz w:val="20"/>
        </w:rPr>
        <w:t xml:space="preserve">White Mountains’s Other Operations reported pre-tax income (loss) of $38 million in the first six months of 2026 compared to $(21) million in the first six months of 2025. White Mountains’s Other Operations reported net realized and unrealized investment gains of $79 million in the first six months of 2026 compared to $35 million in the first six months of 2025. The increase in net realized and unrealized investment gains was driven primarily by net unrealized gains on other-long term investments. White Mountains’s Other Operations reported unrealized investment losses from its investment in MediaAlpha of $7 million in the first six months of 2026 compared to $6 million in the first six months of 2025. White Mountains’s Other Operations reported net investment income of $29 million in the first six months of 2026 compared to $18 million in the first six months of 2025. See </w:t>
      </w:r>
      <w:r>
        <w:rPr>
          <w:rFonts w:ascii="Times New Roman;serif" w:hAnsi="Times New Roman;serif"/>
          <w:b/>
          <w:color w:val="000000"/>
          <w:sz w:val="20"/>
        </w:rPr>
        <w:t xml:space="preserve">Summary of Investment Results </w:t>
      </w:r>
      <w:r>
        <w:rPr>
          <w:rFonts w:ascii="Times New Roman;serif" w:hAnsi="Times New Roman;serif"/>
          <w:b w:val="false"/>
          <w:color w:val="000000"/>
          <w:sz w:val="20"/>
        </w:rPr>
        <w:t xml:space="preserve">on page </w:t>
      </w:r>
      <w:hyperlink w:anchor="if3b6a78c08cc435986c2cd9f5808536f_172">
        <w:r>
          <w:rPr>
            <w:rStyle w:val="InternetLink"/>
            <w:rFonts w:ascii="Times New Roman;serif" w:hAnsi="Times New Roman;serif"/>
            <w:b w:val="false"/>
            <w:strike w:val="false"/>
            <w:dstrike w:val="false"/>
            <w:color w:val="000000"/>
            <w:sz w:val="20"/>
            <w:u w:val="none"/>
            <w:effect w:val="none"/>
          </w:rPr>
          <w:t>78</w:t>
        </w:r>
      </w:hyperlink>
      <w:r>
        <w:rPr>
          <w:rFonts w:ascii="Times New Roman;serif" w:hAnsi="Times New Roman;serif"/>
          <w:b w:val="false"/>
          <w:color w:val="000000"/>
          <w:sz w:val="20"/>
        </w:rPr>
        <w:t xml:space="preserv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White Mountains’s Other Operations reported general and administrative expenses of $86 million in the first six months of 2026 compared to $78 million in the first six months of 2025. Other Operations general and administrative expenses in the first six months of 2026 included $47 million for parent company compensation and benefits compared to $37 million in the first six months of 2025. The increase in incentive compensation costs was driven primarily by an increase in White Mountains’s share price.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Share Repurchases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first six months of 2026, White Mountains repurchased and retired 103,816 of its common shares for $217 million at an average share price of $2,088.40, or 93% of White Mountains’s June 30, 2026 book value per share.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II. Summary of Investment Results</w:t>
      </w:r>
    </w:p>
    <w:p>
      <w:pPr>
        <w:pStyle w:val="TextBody"/>
        <w:bidi w:val="0"/>
        <w:spacing w:lineRule="auto" w:line="288" w:before="0" w:after="0"/>
        <w:jc w:val="left"/>
        <w:rPr>
          <w:color w:val="000000"/>
        </w:rPr>
      </w:pPr>
      <w:r>
        <w:rPr>
          <w:color w:val="000000"/>
        </w:rPr>
        <w:t> </w:t>
      </w:r>
    </w:p>
    <w:p>
      <w:pPr>
        <w:pStyle w:val="TextBody"/>
        <w:bidi w:val="0"/>
        <w:spacing w:lineRule="auto" w:line="268" w:before="0" w:after="0"/>
        <w:jc w:val="left"/>
        <w:rPr/>
      </w:pPr>
      <w:r>
        <w:rPr>
          <w:rFonts w:ascii="Times New Roman;serif" w:hAnsi="Times New Roman;serif"/>
          <w:b w:val="false"/>
          <w:color w:val="000000"/>
          <w:sz w:val="20"/>
        </w:rPr>
        <w:t>White Mountains’s total investment results include results from all segments. For purposes of discussing rates of return, percentages are presented gross of management fees and trading expenses.</w:t>
      </w:r>
      <w:r>
        <w:rPr>
          <w:color w:val="000000"/>
        </w:rPr>
        <w:t xml:space="preserve"> </w:t>
      </w:r>
    </w:p>
    <w:p>
      <w:pPr>
        <w:pStyle w:val="TextBody"/>
        <w:bidi w:val="0"/>
        <w:spacing w:lineRule="auto" w:line="268" w:before="0" w:after="0"/>
        <w:jc w:val="left"/>
        <w:rPr/>
      </w:pPr>
      <w:r>
        <w:rPr>
          <w:rFonts w:ascii="Times New Roman;serif" w:hAnsi="Times New Roman;serif"/>
          <w:b w:val="false"/>
          <w:color w:val="000000"/>
          <w:sz w:val="20"/>
        </w:rPr>
        <w:t xml:space="preserve">Effective December 5, 2025, White Mountains no longer consolidates Bamboo. Through December 5, 2025, White Mountains’s consolidated financial statements included Bamboo’s investment results. See </w:t>
      </w:r>
      <w:r>
        <w:rPr>
          <w:rFonts w:ascii="Times New Roman;serif" w:hAnsi="Times New Roman;serif"/>
          <w:b/>
          <w:color w:val="000000"/>
          <w:sz w:val="20"/>
        </w:rPr>
        <w:t xml:space="preserve">Note 2 — “Significant Transactions.”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Gross Investment Returns and Benchmark Returns</w:t>
      </w:r>
      <w:r>
        <w:rPr>
          <w:color w:val="000000"/>
        </w:rPr>
        <w:t xml:space="preserve"> </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pre-tax time-weighted investment returns for White Mountains’s consolidated portfolio, for the three and six months ended June 30, 2026 and 2025:</w:t>
      </w:r>
    </w:p>
    <w:tbl>
      <w:tblPr>
        <w:tblW w:w="10205" w:type="dxa"/>
        <w:jc w:val="center"/>
        <w:tblInd w:w="0" w:type="dxa"/>
        <w:tblLayout w:type="fixed"/>
        <w:tblCellMar>
          <w:top w:w="28" w:type="dxa"/>
          <w:left w:w="28" w:type="dxa"/>
          <w:bottom w:w="28" w:type="dxa"/>
          <w:right w:w="28" w:type="dxa"/>
        </w:tblCellMar>
      </w:tblPr>
      <w:tblGrid>
        <w:gridCol w:w="1741"/>
        <w:gridCol w:w="1529"/>
        <w:gridCol w:w="1535"/>
        <w:gridCol w:w="109"/>
        <w:gridCol w:w="109"/>
        <w:gridCol w:w="109"/>
        <w:gridCol w:w="239"/>
        <w:gridCol w:w="242"/>
        <w:gridCol w:w="483"/>
        <w:gridCol w:w="184"/>
        <w:gridCol w:w="184"/>
        <w:gridCol w:w="184"/>
        <w:gridCol w:w="234"/>
        <w:gridCol w:w="232"/>
        <w:gridCol w:w="433"/>
        <w:gridCol w:w="109"/>
        <w:gridCol w:w="109"/>
        <w:gridCol w:w="109"/>
        <w:gridCol w:w="239"/>
        <w:gridCol w:w="242"/>
        <w:gridCol w:w="438"/>
        <w:gridCol w:w="166"/>
        <w:gridCol w:w="166"/>
        <w:gridCol w:w="166"/>
        <w:gridCol w:w="222"/>
        <w:gridCol w:w="224"/>
        <w:gridCol w:w="468"/>
      </w:tblGrid>
      <w:tr>
        <w:trPr/>
        <w:tc>
          <w:tcPr>
            <w:tcW w:w="1741"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48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4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48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Fixed income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0.9</w:t>
            </w:r>
            <w:r>
              <w:rPr>
                <w:color w:val="000000"/>
              </w:rPr>
              <w:t> </w:t>
            </w:r>
          </w:p>
        </w:tc>
        <w:tc>
          <w:tcPr>
            <w:tcW w:w="4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4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w:t>
            </w:r>
            <w:r>
              <w:rPr>
                <w:color w:val="000000"/>
              </w:rPr>
              <w:t> </w:t>
            </w:r>
          </w:p>
        </w:tc>
        <w:tc>
          <w:tcPr>
            <w:tcW w:w="43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4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Bloomberg Intermediate U.S. Aggregate Index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18"/>
              </w:rPr>
              <w:t>0.5</w:t>
            </w:r>
            <w:r>
              <w:rPr>
                <w:color w:val="000000"/>
              </w:rPr>
              <w:t> </w:t>
            </w:r>
          </w:p>
        </w:tc>
        <w:tc>
          <w:tcPr>
            <w:tcW w:w="4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18"/>
              </w:rPr>
            </w:pPr>
            <w:r>
              <w:rPr>
                <w:rFonts w:ascii="Times New Roman;serif" w:hAnsi="Times New Roman;serif"/>
                <w:b/>
                <w:i/>
                <w:color w:val="000000"/>
                <w:sz w:val="18"/>
              </w:rPr>
              <w:t>%</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1.5 </w:t>
            </w:r>
          </w:p>
        </w:tc>
        <w:tc>
          <w:tcPr>
            <w:tcW w:w="4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18"/>
              </w:rPr>
              <w:t>0.6</w:t>
            </w:r>
            <w:r>
              <w:rPr>
                <w:color w:val="000000"/>
              </w:rPr>
              <w:t> </w:t>
            </w:r>
          </w:p>
        </w:tc>
        <w:tc>
          <w:tcPr>
            <w:tcW w:w="43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18"/>
              </w:rPr>
            </w:pPr>
            <w:r>
              <w:rPr>
                <w:rFonts w:ascii="Times New Roman;serif" w:hAnsi="Times New Roman;serif"/>
                <w:b/>
                <w:i/>
                <w:color w:val="000000"/>
                <w:sz w:val="18"/>
              </w:rPr>
              <w:t>%</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4.2 </w:t>
            </w:r>
          </w:p>
        </w:tc>
        <w:tc>
          <w:tcPr>
            <w:tcW w:w="4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r>
      <w:tr>
        <w:trPr/>
        <w:tc>
          <w:tcPr>
            <w:tcW w:w="4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8.0</w:t>
            </w:r>
            <w:r>
              <w:rPr>
                <w:color w:val="000000"/>
              </w:rPr>
              <w:t> </w:t>
            </w:r>
          </w:p>
        </w:tc>
        <w:tc>
          <w:tcPr>
            <w:tcW w:w="4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4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w:t>
            </w:r>
            <w:r>
              <w:rPr>
                <w:color w:val="000000"/>
              </w:rPr>
              <w:t> </w:t>
            </w:r>
          </w:p>
        </w:tc>
        <w:tc>
          <w:tcPr>
            <w:tcW w:w="43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4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4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in MediaAlpha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35.2</w:t>
            </w:r>
            <w:r>
              <w:rPr>
                <w:color w:val="000000"/>
              </w:rPr>
              <w:t> </w:t>
            </w:r>
          </w:p>
        </w:tc>
        <w:tc>
          <w:tcPr>
            <w:tcW w:w="4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4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(2.9)</w:t>
            </w:r>
          </w:p>
        </w:tc>
        <w:tc>
          <w:tcPr>
            <w:tcW w:w="43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4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4.3</w:t>
            </w:r>
            <w:r>
              <w:rPr>
                <w:color w:val="000000"/>
              </w:rPr>
              <w:t> </w:t>
            </w:r>
          </w:p>
        </w:tc>
        <w:tc>
          <w:tcPr>
            <w:tcW w:w="4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4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7.1</w:t>
            </w:r>
            <w:r>
              <w:rPr>
                <w:color w:val="000000"/>
              </w:rPr>
              <w:t> </w:t>
            </w:r>
          </w:p>
        </w:tc>
        <w:tc>
          <w:tcPr>
            <w:tcW w:w="43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4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common equity securities, investment in MediaAlpha and other </w:t>
              <w:br/>
              <w:t xml:space="preserve">   long-term investments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6.1</w:t>
            </w:r>
            <w:r>
              <w:rPr>
                <w:color w:val="000000"/>
              </w:rPr>
              <w:t> </w:t>
            </w:r>
          </w:p>
        </w:tc>
        <w:tc>
          <w:tcPr>
            <w:tcW w:w="4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4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5.9</w:t>
            </w:r>
            <w:r>
              <w:rPr>
                <w:color w:val="000000"/>
              </w:rPr>
              <w:t> </w:t>
            </w:r>
          </w:p>
        </w:tc>
        <w:tc>
          <w:tcPr>
            <w:tcW w:w="43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4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common equity securities and other long-term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4.9</w:t>
            </w:r>
            <w:r>
              <w:rPr>
                <w:color w:val="000000"/>
              </w:rPr>
              <w:t> </w:t>
            </w:r>
          </w:p>
        </w:tc>
        <w:tc>
          <w:tcPr>
            <w:tcW w:w="4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4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6.5</w:t>
            </w:r>
            <w:r>
              <w:rPr>
                <w:color w:val="000000"/>
              </w:rPr>
              <w:t> </w:t>
            </w:r>
          </w:p>
        </w:tc>
        <w:tc>
          <w:tcPr>
            <w:tcW w:w="43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4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S&amp;P 500 Index (total return)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18"/>
              </w:rPr>
              <w:t>15.2</w:t>
            </w:r>
            <w:r>
              <w:rPr>
                <w:color w:val="000000"/>
              </w:rPr>
              <w:t> </w:t>
            </w:r>
          </w:p>
        </w:tc>
        <w:tc>
          <w:tcPr>
            <w:tcW w:w="4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18"/>
              </w:rPr>
            </w:pPr>
            <w:r>
              <w:rPr>
                <w:rFonts w:ascii="Times New Roman;serif" w:hAnsi="Times New Roman;serif"/>
                <w:b/>
                <w:i/>
                <w:color w:val="000000"/>
                <w:sz w:val="18"/>
              </w:rPr>
              <w:t>%</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10.9 </w:t>
            </w:r>
          </w:p>
        </w:tc>
        <w:tc>
          <w:tcPr>
            <w:tcW w:w="4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18"/>
              </w:rPr>
              <w:t>10.2</w:t>
            </w:r>
            <w:r>
              <w:rPr>
                <w:color w:val="000000"/>
              </w:rPr>
              <w:t> </w:t>
            </w:r>
          </w:p>
        </w:tc>
        <w:tc>
          <w:tcPr>
            <w:tcW w:w="43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18"/>
              </w:rPr>
            </w:pPr>
            <w:r>
              <w:rPr>
                <w:rFonts w:ascii="Times New Roman;serif" w:hAnsi="Times New Roman;serif"/>
                <w:b/>
                <w:i/>
                <w:color w:val="000000"/>
                <w:sz w:val="18"/>
              </w:rPr>
              <w:t>%</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6.2 </w:t>
            </w:r>
          </w:p>
        </w:tc>
        <w:tc>
          <w:tcPr>
            <w:tcW w:w="4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8"/>
              </w:rPr>
            </w:pPr>
            <w:r>
              <w:rPr>
                <w:rFonts w:ascii="Times New Roman;serif" w:hAnsi="Times New Roman;serif"/>
                <w:b w:val="false"/>
                <w:i/>
                <w:color w:val="000000"/>
                <w:sz w:val="18"/>
              </w:rPr>
              <w:t>%</w:t>
            </w:r>
          </w:p>
        </w:tc>
      </w:tr>
      <w:tr>
        <w:trPr/>
        <w:tc>
          <w:tcPr>
            <w:tcW w:w="4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consolidated portfolio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w:t>
            </w:r>
            <w:r>
              <w:rPr>
                <w:color w:val="000000"/>
              </w:rPr>
              <w:t> </w:t>
            </w:r>
          </w:p>
        </w:tc>
        <w:tc>
          <w:tcPr>
            <w:tcW w:w="48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43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w:t>
            </w:r>
            <w:r>
              <w:rPr>
                <w:color w:val="000000"/>
              </w:rPr>
              <w:t> </w:t>
            </w:r>
          </w:p>
        </w:tc>
        <w:tc>
          <w:tcPr>
            <w:tcW w:w="43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46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0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Total consolidated portfolio - excluding MediaAlpha</w:t>
            </w:r>
            <w:r>
              <w:rPr>
                <w:color w:val="000000"/>
              </w:rPr>
              <w:t xml:space="preserve"> </w:t>
            </w:r>
            <w:r>
              <w:rPr>
                <w:rFonts w:ascii="Times New Roman;serif" w:hAnsi="Times New Roman;serif"/>
                <w:b w:val="false"/>
                <w:color w:val="000000"/>
                <w:sz w:val="10"/>
              </w:rPr>
              <w:t>(1)</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w:t>
            </w:r>
            <w:r>
              <w:rPr>
                <w:color w:val="000000"/>
              </w:rPr>
              <w:t> </w:t>
            </w:r>
          </w:p>
        </w:tc>
        <w:tc>
          <w:tcPr>
            <w:tcW w:w="483"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55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433"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w:t>
            </w:r>
            <w:r>
              <w:rPr>
                <w:color w:val="000000"/>
              </w:rPr>
              <w:t> </w:t>
            </w:r>
          </w:p>
        </w:tc>
        <w:tc>
          <w:tcPr>
            <w:tcW w:w="438"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49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468"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r>
        <w:trPr/>
        <w:tc>
          <w:tcPr>
            <w:tcW w:w="4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9"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 xml:space="preserve">See </w:t>
      </w:r>
      <w:r>
        <w:rPr>
          <w:color w:val="000000"/>
        </w:rPr>
        <w:t>“</w:t>
      </w:r>
      <w:r>
        <w:rPr>
          <w:rFonts w:ascii="Times New Roman;serif" w:hAnsi="Times New Roman;serif"/>
          <w:b/>
          <w:color w:val="000000"/>
          <w:sz w:val="16"/>
        </w:rPr>
        <w:t>NON-GAAP FINANCIAL MEASURES”</w:t>
      </w:r>
      <w:r>
        <w:rPr>
          <w:color w:val="000000"/>
        </w:rPr>
        <w:t xml:space="preserve"> </w:t>
      </w:r>
      <w:r>
        <w:rPr>
          <w:rFonts w:ascii="Times New Roman;serif" w:hAnsi="Times New Roman;serif"/>
          <w:b w:val="false"/>
          <w:color w:val="000000"/>
          <w:sz w:val="16"/>
        </w:rPr>
        <w:t>on page </w:t>
      </w:r>
      <w:hyperlink w:anchor="if3b6a78c08cc435986c2cd9f5808536f_190">
        <w:r>
          <w:rPr>
            <w:rStyle w:val="InternetLink"/>
            <w:rFonts w:ascii="Times New Roman;serif" w:hAnsi="Times New Roman;serif"/>
            <w:b w:val="false"/>
            <w:strike w:val="false"/>
            <w:dstrike w:val="false"/>
            <w:color w:val="000000"/>
            <w:sz w:val="16"/>
            <w:u w:val="none"/>
            <w:effect w:val="none"/>
          </w:rPr>
          <w:t>87</w:t>
        </w:r>
      </w:hyperlink>
      <w:r>
        <w:rPr>
          <w:rFonts w:ascii="Times New Roman;serif" w:hAnsi="Times New Roman;serif"/>
          <w:b w:val="false"/>
          <w:color w:val="000000"/>
          <w:sz w:val="16"/>
        </w:rPr>
        <w:t>.</w:t>
      </w:r>
    </w:p>
    <w:p>
      <w:pPr>
        <w:pStyle w:val="TextBody"/>
        <w:bidi w:val="0"/>
        <w:spacing w:before="0" w:after="0"/>
        <w:ind w:left="0" w:right="0" w:firstLine="9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Investment Returns—Three and Six Months Ended June 30, 2026 versus Three and Six Months Ended June 30, 2025</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White Mountains’s total consolidated portfolio return on invested assets was 3.5% in the second quarter of 2026, which included $58 million of unrealized investment gains from White Mountains’s investment in MediaAlpha. Excluding MediaAlpha, the total consolidated portfolio return on invested assets was 2.8% in the second quarter of 2026. Excluding MediaAlpha, investment results were driven primarily by net realized and unrealized investment gains from other long-term investments, net unrealized investment gains from common equity securities and net investment income from the other long-term investments and fixed income portfolios. White Mountains’s total consolidated portfolio return on invested assets was 2.7% in the second quarter of 2025, which included $31 million of unrealized investment gains from White Mountains’s investment in MediaAlpha. Excluding MediaAlpha, the total consolidated portfolio return on invested assets was 2.3% in the second quarter of 2025. Excluding MediaAlpha, investment results were driven primarily by net investment income and net unrealized investment gains from the other long-term investments and fixed income portfolios.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White Mountains’s total consolidated portfolio return on invested assets was 3.7% in the first six months of 2026, which included $7 million of unrealized investment losses from White Mountains’s investment in MediaAlpha. Excluding MediaAlpha, the total consolidated portfolio return on invested assets was 3.8% in the first six months of 2026. Excluding MediaAlpha, investment results were driven primarily by net unrealized investment gains from other long-term investments and net investment income from the other long-term investments and fixed income portfolios. White Mountains’s total consolidated portfolio return on invested assets was 4.5% in the first six months of 2025, which included $6 million of unrealized investment losses from White Mountains’s investment in MediaAlpha. Excluding MediaAlpha, the total consolidated portfolio return on invested assets was 4.7% in the first six months of 2025. Excluding MediaAlpha, investment results were driven primarily by net investment income and net unrealized investment gains from the other long-term investments and fixed income portfolios.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Fixed Income Results</w:t>
      </w:r>
    </w:p>
    <w:p>
      <w:pPr>
        <w:pStyle w:val="TextBody"/>
        <w:bidi w:val="0"/>
        <w:spacing w:lineRule="auto" w:line="288" w:before="0" w:after="0"/>
        <w:jc w:val="left"/>
        <w:rPr/>
      </w:pPr>
      <w:r>
        <w:rPr>
          <w:rFonts w:ascii="Times New Roman;serif" w:hAnsi="Times New Roman;serif"/>
          <w:b w:val="false"/>
          <w:color w:val="000000"/>
          <w:sz w:val="20"/>
        </w:rPr>
        <w:t xml:space="preserve">White Mountains’s fixed income portfolio, including short-term investments, totaled $4.0 billion and $4.7 billion as of June 30, 2026 and December 31, 2025, which represented 49% and 56% of total invested assets for each period. The duration of White Mountains’s fixed income portfolio, including short-term investments, was 2.1 years and 1.5 years as of June 30, 2026 and December 31, 2025. The change in the fair value and duration of the fixed income portfolio was driven primarily by the sale of short-term investments to fund new capital deployments, share repurchases and the purchase of common equity ETFs. White Mountains’s fixed income portfolio includes fixed maturity and short-term investments held on deposit or as collateral. See </w:t>
      </w:r>
      <w:r>
        <w:rPr>
          <w:rFonts w:ascii="Times New Roman;serif" w:hAnsi="Times New Roman;serif"/>
          <w:b/>
          <w:color w:val="000000"/>
          <w:sz w:val="20"/>
        </w:rPr>
        <w:t>Note 3 — “Investment Securities.”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White Mountains’s fixed income portfolio returned 0.9% in the second quarter of 2026 compared to 1.5% in the second quarter of 2025, outperforming and in line with the Bloomberg Intermediate U.S. Aggregate Index returns of 0.5% and 1.5% for the comparable periods. Results in the second quarter of 2026 were driven primarily by net investment income, partially offset by net unrealized investment losses due to the impact of the increase in interest rates on White Mountains’s short duration fixed income portfolio. Results in the second quarter of 2025 were driven primarily by net investment income and net unrealized investment gains due to the impact of the decline in interest rates on White Mountains’s short duration fixed income portfolio.</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White Mountains’s fixed income portfolio returned 1.4% in the first six months of 2026 compared to 3.3% in the first six months of 2025, outperforming and underperforming the Bloomberg Intermediate U.S. Aggregate Index returns of 0.6% and 4.2% for the comparable periods. Results in the first six months of 2026 were driven primarily by net investment income, partially offset by net unrealized investment losses due to the impact of the increase in interest rates on White Mountains’s short duration fixed income portfolio. Results in the first six months of 2025 were driven primarily by net investment income and net unrealized investment gains due to the impact of the decline in interest rates on White Mountains’s short duration fixed income portfolio.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Common Equity Securities, Investment in MediaAlpha and Other Long-Term Investments Results</w:t>
      </w:r>
    </w:p>
    <w:p>
      <w:pPr>
        <w:pStyle w:val="TextBody"/>
        <w:bidi w:val="0"/>
        <w:spacing w:lineRule="auto" w:line="288" w:before="0" w:after="0"/>
        <w:jc w:val="left"/>
        <w:rPr/>
      </w:pPr>
      <w:r>
        <w:rPr>
          <w:rFonts w:ascii="Times New Roman;serif" w:hAnsi="Times New Roman;serif"/>
          <w:b w:val="false"/>
          <w:color w:val="000000"/>
          <w:sz w:val="20"/>
        </w:rPr>
        <w:t>White Mountains’s portfolio of common equity securities, its investment in MediaAlpha and other long-term investments totaled $4.1 billion and $3.7 billion as of June 30, 2026 and December 31, 2025, which represented 51% and 44% of total invested assets for each period. The change in fair value was driven primarily by increased exposure to other long-term investments and common equity securities, principally due to new unconsolidated entities, an increase in the fair value of Kudu’s Participation Contracts and the purchase of common equity ETFs. See</w:t>
      </w:r>
      <w:r>
        <w:rPr>
          <w:color w:val="000000"/>
        </w:rPr>
        <w:t xml:space="preserve"> </w:t>
      </w:r>
      <w:r>
        <w:rPr>
          <w:rFonts w:ascii="Times New Roman;serif" w:hAnsi="Times New Roman;serif"/>
          <w:b/>
          <w:color w:val="000000"/>
          <w:sz w:val="20"/>
        </w:rPr>
        <w:t>Note 3 — “Investment Securities.”</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White Mountains’s portfolio of common equity securities, its investment in MediaAlpha and other long-term investments returned 6.1% in the second quarter of 2026, which included $58 million of unrealized investment gains from White Mountains’s investment in MediaAlpha. White Mountains’s portfolio of common equity securities and other long-term investments returned 4.9% in the second quarter of 2026. White Mountains’s portfolio of common equity securities, its investment in MediaAlpha and other long-term investments returned 4.2% in the second quarter of 2025, which included $31 million of unrealized investment gains from White Mountains’s investment in MediaAlpha. White Mountains’s portfolio of common equity securities and other long-term investments returned 3.4% in the second quarter of 2025.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White Mountains’s portfolio of common equity securities, its investment in MediaAlpha and other long-term investments returned 5.9% in the first six months of 2026, which included $7 million of unrealized investment losses from White Mountains’s investment in MediaAlpha. White Mountains’s portfolio of common equity securities and other long-term investments returned 6.5% in the first six months of 2026. White Mountains’s portfolio of common equity securities, its investment in MediaAlpha and other long-term investments returned 5.9% in the first six months of 2025, which included $6 million of unrealized investment losses from White Mountains’s investment in MediaAlpha. White Mountains’s portfolio of common equity securities and other long-term investments returned 6.6% in the first six months of 2025.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White Mountains’s portfolio of common equity securities generally consists of international listed equity funds, primarily held at Ark, and passive common equity ETFs. White Mountains’s common equity ETFs seek to provide investment results generally corresponding to the performance of the S&amp;P 500 Index. White Mountains’s portfolio of common equity securities was $577 million and $483 million as of June 30, 2026 and December 31, 2025. The increase in common equity securities was driven in part by the reallocation of a portion of the sale proceeds from the Bamboo Transaction.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White Mountains’s portfolio of common equity securities returned 8.0% in the second quarter of 2026 compared to 4.5% in the second quarter of 2025, underperforming the S&amp;P 500 Index returns of 15.2% and 10.9% for the comparable periods. White Mountains’s portfolio of common equity securities returned 3.2% in the first six months of 2026 compared to 6.4% in the first six months of 2025, underperforming and outperforming the S&amp;P 500 Index returns of 10.2% and 6.2% for the comparable periods. The underperformance and outperformance in each period was driven primarily by certain international listed equity funds that employ a market neutral strategy.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White Mountains maintains a portfolio of other long-term investments that consists primarily of unconsolidated entities, including Kudu’s Participation Contracts, the Bamboo SPV, the BroadStreet SPV, PassportCard/DavidShield and Bishop Street, as well as private equity funds and hedge funds, a bank loan fund and Lloyd’s trust deposits. White Mountains’s portfolio of other long-term investments totaled $3.3 billion and $3.0 billion as of June 30, 2026 and December 31, 2025.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White Mountains’s portfolio of other long-term investments returned 4.3% in the second quarter of 2026 compared to 3.0% in the second quarter of 2025. Investment returns for the second quarter of 2026 were driven primarily by net investment income and net realized and unrealized investment gains from Kudu’s Participation Contracts, as well as net unrealized investment gains from certain unconsolidated entities. Investment returns for the second quarter of 2025 were driven primarily by net investment income from Kudu’s Participation Contracts and net realized and unrealized investment gains from certain unconsolidated entities, private equity funds and hedge funds, as well as unrealized gains from foreign currency.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White Mountains’s portfolio of other long-term investments returned 7.1% in the first six months of 2026 compared to 6.4% in the first six months of 2025. Investment returns for the first six months of 2026 were driven primarily by net investment income and net realized and unrealized investment gains from Kudu’s Participation Contracts, as well as net unrealized investment gains from certain unconsolidated entities. Investment returns for the first six months of 2025 were driven primarily by net investment income and net realized and unrealized investment gains from Kudu’s Participation Contracts, as well as net realized and unrealized investment gains from certain unconsolidated entities, private equity funds and hedge funds.</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Foreign Currency Exposure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 White Mountains had foreign currency exposure on $455 million of net assets, primarily related to Ark/WM Outrigger’s non-U.S. contracts, Kudu’s non-U.S. Participation Contracts and a non-U.S. Other Operating Business.</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fair value of White Mountains’s foreign denominated net assets (liabilities) by segment as of June 30, 2026: </w:t>
      </w:r>
    </w:p>
    <w:tbl>
      <w:tblPr>
        <w:tblW w:w="10205" w:type="dxa"/>
        <w:jc w:val="center"/>
        <w:tblInd w:w="0" w:type="dxa"/>
        <w:tblLayout w:type="fixed"/>
        <w:tblCellMar>
          <w:top w:w="28" w:type="dxa"/>
          <w:left w:w="28" w:type="dxa"/>
          <w:bottom w:w="28" w:type="dxa"/>
          <w:right w:w="28" w:type="dxa"/>
        </w:tblCellMar>
      </w:tblPr>
      <w:tblGrid>
        <w:gridCol w:w="331"/>
        <w:gridCol w:w="291"/>
        <w:gridCol w:w="292"/>
        <w:gridCol w:w="109"/>
        <w:gridCol w:w="109"/>
        <w:gridCol w:w="109"/>
        <w:gridCol w:w="240"/>
        <w:gridCol w:w="719"/>
        <w:gridCol w:w="123"/>
        <w:gridCol w:w="109"/>
        <w:gridCol w:w="109"/>
        <w:gridCol w:w="109"/>
        <w:gridCol w:w="109"/>
        <w:gridCol w:w="109"/>
        <w:gridCol w:w="211"/>
        <w:gridCol w:w="631"/>
        <w:gridCol w:w="109"/>
        <w:gridCol w:w="109"/>
        <w:gridCol w:w="109"/>
        <w:gridCol w:w="109"/>
        <w:gridCol w:w="332"/>
        <w:gridCol w:w="665"/>
        <w:gridCol w:w="173"/>
        <w:gridCol w:w="109"/>
        <w:gridCol w:w="109"/>
        <w:gridCol w:w="109"/>
        <w:gridCol w:w="254"/>
        <w:gridCol w:w="761"/>
        <w:gridCol w:w="131"/>
        <w:gridCol w:w="109"/>
        <w:gridCol w:w="109"/>
        <w:gridCol w:w="109"/>
        <w:gridCol w:w="385"/>
        <w:gridCol w:w="385"/>
        <w:gridCol w:w="1067"/>
        <w:gridCol w:w="109"/>
        <w:gridCol w:w="109"/>
        <w:gridCol w:w="109"/>
        <w:gridCol w:w="109"/>
        <w:gridCol w:w="109"/>
        <w:gridCol w:w="109"/>
        <w:gridCol w:w="109"/>
        <w:gridCol w:w="109"/>
        <w:gridCol w:w="109"/>
        <w:gridCol w:w="109"/>
        <w:gridCol w:w="162"/>
      </w:tblGrid>
      <w:tr>
        <w:trPr/>
        <w:tc>
          <w:tcPr>
            <w:tcW w:w="3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pPr>
            <w:r>
              <w:rPr>
                <w:rFonts w:ascii="Times New Roman;serif" w:hAnsi="Times New Roman;serif"/>
                <w:b/>
                <w:color w:val="000000"/>
                <w:sz w:val="16"/>
              </w:rPr>
              <w:t>$ in Millions</w:t>
              <w:br/>
            </w:r>
            <w:r>
              <w:rPr>
                <w:rFonts w:ascii="Times New Roman;serif" w:hAnsi="Times New Roman;serif"/>
                <w:b/>
                <w:sz w:val="16"/>
              </w:rPr>
              <w:br/>
            </w:r>
            <w:r>
              <w:rPr>
                <w:rFonts w:ascii="Times New Roman;serif" w:hAnsi="Times New Roman;serif"/>
                <w:b/>
                <w:color w:val="000000"/>
                <w:sz w:val="16"/>
              </w:rPr>
              <w:t>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Ark/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WM Outrigger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Kudu</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Operations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 Shareholders’ Equity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gridSpan w:val="3"/>
            <w:tcBorders/>
          </w:tcPr>
          <w:p>
            <w:pPr>
              <w:pStyle w:val="TableContents"/>
              <w:bidi w:val="0"/>
              <w:spacing w:before="0" w:after="283"/>
              <w:jc w:val="left"/>
              <w:rPr>
                <w:sz w:val="4"/>
                <w:szCs w:val="4"/>
              </w:rPr>
            </w:pPr>
            <w:r>
              <w:rPr>
                <w:sz w:val="4"/>
                <w:szCs w:val="4"/>
              </w:rPr>
            </w:r>
          </w:p>
        </w:tc>
      </w:tr>
      <w:tr>
        <w:trPr/>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116.5 </w:t>
            </w:r>
          </w:p>
        </w:tc>
        <w:tc>
          <w:tcPr>
            <w:tcW w:w="12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160.0 </w:t>
            </w:r>
          </w:p>
        </w:tc>
        <w:tc>
          <w:tcPr>
            <w:tcW w:w="1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0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EUR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GBP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1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282.4</w:t>
            </w:r>
            <w:r>
              <w:rPr>
                <w:color w:val="000000"/>
              </w:rPr>
              <w:t> </w:t>
            </w:r>
          </w:p>
        </w:tc>
        <w:tc>
          <w:tcPr>
            <w:tcW w:w="12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171.2</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w:t>
            </w:r>
            <w:r>
              <w:rPr>
                <w:color w:val="000000"/>
              </w:rPr>
              <w:t> </w:t>
            </w:r>
          </w:p>
        </w:tc>
        <w:tc>
          <w:tcPr>
            <w:tcW w:w="1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454.9</w:t>
            </w:r>
            <w:r>
              <w:rPr>
                <w:color w:val="000000"/>
              </w:rPr>
              <w:t> </w:t>
            </w:r>
          </w:p>
        </w:tc>
        <w:tc>
          <w:tcPr>
            <w:tcW w:w="1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w:t>
            </w:r>
            <w:r>
              <w:rPr>
                <w:color w:val="000000"/>
              </w:rPr>
              <w:t> </w:t>
            </w:r>
          </w:p>
        </w:tc>
        <w:tc>
          <w:tcPr>
            <w:tcW w:w="10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III. Income Taxes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 the primary jurisdictions in which the Company’s subsidiaries and branches operated and were subject to tax include the United States, the United Kingdom, Luxembourg and Israel.</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December 15, 2022, European Union Member States voted to adopt the EU Minimum Tax Directive in conformity with the OECD Pillar Two initiative. The Pillar Two initiative includes a set of model rules that are generally designed to impose a top-up tax on a large multinational enterprise group to the extent that the group is not subject to an effective tax rate of at least 15% in each jurisdiction in which the group has a consolidated affiliate or permanent establishment. The EU Minimum Tax Directive required European Union Member States to enact conforming law by December 31, 2023. The main rule of the EU Minimum Tax Directive, the Income Inclusion Rule (“IIR”), was to become effective for fiscal years beginning on or after December 31, 2023, while the UTPR was to become effective for fiscal years beginning on or after December 31, 2024. The EU Minimum Tax Directive also permits European Union Member States to elect to apply a Qualified Domestic Minimum Top-up Tax (“QDMTT”) for fiscal years beginning on or after December 31, 2023. As of June 30, 2026, White Mountains does not expect that it will be subject to a top-up tax for the year ending December 31, 2026.</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July 11, 2023, the United Kingdom enacted conforming Pillar Two legislation including the IIR and QDMTT, which became effective for fiscal years beginning on or after December 31, 2023. On March 20, 2025, the United Kingdom enacted legislation adopting the Pillar Two UTPR effective for fiscal years beginning on or after December 31, 2024. Under the legislation, the effective date of the UTPR is deferred until fiscal years beginning on or after December 31, 2029 for U.K. companies in consolidated groups that meet certain requirements. To qualify for the deferral, generally the group must (i) have consolidated affiliates and permanent establishments in six or fewer countries and (ii) have no more than €50 million of net tangible assets outside of the country where the group has the largest amount of net tangible assets. White Mountains expects to meet the requirements to be exempt from the U.K. UTPR until January 1, 2030.</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20, 2023, Luxembourg enacted conforming Pillar Two legislation including the IIR and QDMTT, which became effective for fiscal years beginning on or after December 31, 2023, and the UTPR, which became effective for fiscal years beginning on or after December 31, 2024. The Luxembourg Pillar Two legislation defers the effective date of the QDMTT and UTPR until fiscal years beginning on or after December 31, 2028 and 2029, respectively, for Luxembourg companies in consolidated groups that meet certain requirements. To qualify for the deferral, generally the group must (i) have consolidated affiliates and permanent establishments in six or fewer countries and (ii) have no more than €50 million of net tangible assets outside of the country where the group has the largest amount of net tangible assets. White Mountains expects to meet the requirements to be exempt from the Luxembourg QDMTT and UTPR until January 1, 2029 and 2030, respectively.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December 30, 2025, Israel enacted conforming Pillar Two legislation that adopts a QDMTT, which became effective for fiscal years beginning on or after January 1,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27, 2023, Bermuda enacted a 15% corporate income tax that became effective on January 1, 2025. The Bermuda tax legislation defers the effective date for five years, for Bermuda companies in consolidated groups that meet certain requirements. To qualify for the deferral, generally the group must (i) have consolidated affiliates and permanent establishments in six or fewer countries, (ii) have no more than €50 million of net tangible assets outside of the country where the group has the largest amount of net tangible assets and (iii) not have a consolidated Bermuda affiliate or Bermuda permanent establishment directly or indirectly owned by a parent entity that is subject to the Pillar Two IIR in any jurisdiction. White Mountains expects to meet the requirements to be exempt from the Bermuda corporate income tax until January 1, 2030.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Bermuda tax legislation also provides for an optional economic transition adjustment that can decrease or increase future years’ taxable income. Under GAAP, this economic transition adjustment was required to be recorded as a deferred tax asset or liability as of December 31, 2023 if a company intended to apply the adjustment to compute its taxable income. Accordingly, White Mountains recognized a net deferred tax benefit of $68 million in 2023, of which $51 million was recognized at Ark and $17 million was recognized at HG Global. As of July 1, 2024, White Mountains no longer consolidates BAM. As a result of the deconsolidation, the BAM Surplus Notes are recorded at fair value, which resulted in the reversal of a $5 million deferred tax liability related to the economic transition adjustment, generating a $5 million deferred tax benefit in 2024. On December 11, 2025, Bermuda enacted legislation that changed the scope of assets and liabilities subject to the economic transition adjustment. This legislation resulted in the reversal of a $5 million deferred tax liability related to the economic transition adjustment, generating a $5 million deferred tax benefit in 2025.</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January 15, 2025, the OECD released administrative guidance on its Pillar Two model rules (the “January 2025 OECD Administrative Guidance”). The January 2025 OECD Administrative Guidance provides that, subject to limited exceptions, deferred tax expense attributable to deferred tax assets resulting from the introduction of a new corporate income tax after November 30, 2021 is to be excluded when assessing whether a multinational enterprise group has an effective tax rate of at least 15% in the jurisdiction that adopted the corporate income tax. Deferred tax assets associated with the economic transition adjustment recorded under the Bermuda corporate income tax are expected to be within the scope of the January 2025 OECD Administrative Guidance.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17, 2025, Luxembourg enacted legislation that adopts the January 2025 OECD Administrative Guidance. On March 18, 2026, the United Kingdom enacted legislation that adopts the January 2025 OECD Administrative Guidance. Accordingly, in any future year in which the economic transition adjustment deferred tax asset is utilized, White Mountains expects to incur a top-up tax under the Luxembourg and United Kingdom UTPR equal to the amount of the deferred tax expense for that year associated with the economic transition adjustment. Consequently, White Mountains expects to derive no economic benefit from the Bermuda economic transition adjustment and intends to opt out of the economic transition adjustment upon becoming subject to Bermuda corporate income tax. Accordingly, White Mountains recognized a deferred tax expense of $78 million in 2025 to reverse the net deferred tax asset related to the Bermuda economic transition adjustment.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December 11, 2025, the Bermuda government enacted legislation providing certain incentives for Bermuda-based employment, training, local expenditure and community development. The incentives are based on qualifying expenditures of eligible Bermuda entities and are provided in the form of a refundable tax credit. A Bermuda entity may be eligible for the incentives regardless of whether it is subject to the Bermuda corporate income tax. For the six months ended June 30, 2026, White Mountains recognized a $9 million benefit for the incentives as a reduction to general and administrative expenses.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July 4, 2025, the U.S. enacted the One Big Beautiful Bill Act (“OBBBA”). White Mountains does not expect the OBBBA to have a material impact on its financial statements.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White Mountains’s income tax expense related to pre-tax income from continuing operations for the three and six months ended June 30, 2026 represented an effective tax rate of 10% and 11%. The effective tax rate was different from the U.S. statutory rate of 21%, driven primarily by full year forecasted income in jurisdictions with lower tax rates than the United States and full valuation allowances on deferred tax assets at certain U.S. operations.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White Mountains’s income tax expense related to pre-tax income from continuing operations for the three and six months ended June 30, 2025 represented an effective tax rate of 7% and 9%. The effective tax rate was different from the U.S. statutory rate of 21%, driven primarily by full year forecasted income in jurisdictions with lower tax rates than the United States.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Operating Cash and Short-term Investments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Holding Company Level</w:t>
      </w:r>
      <w:r>
        <w:rPr>
          <w:color w:val="000000"/>
        </w:rPr>
        <w:t xml:space="preserv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primary sources of cash for the Company and certain of its intermediate holding companies are expected to be distributions from its insurance, reinsurance and other operating subsidiaries, net investment income, proceeds from sales, repayments and maturities of investments, borrowings from credit facilities, capital raising activities and, from time to time, proceeds from sales of operating subsidiaries. The primary uses of cash are expected to be general and administrative expenses, purchases of investments, payments to tax authorities, payments on and repurchases/retirements of debt obligations, dividend payments to holders of the Company’s common shares, distributions to noncontrolling interest holders of consolidated subsidiaries, contributions to operating subsidiaries and, from time to time, purchases of operating subsidiaries and repurchases of the Company’s common shares.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Operating Subsidiary Level</w:t>
      </w: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primary sources of cash for White Mountains’s insurance, reinsurance and other operating subsidiaries are expected to be (i) collections of premiums, commissions and fees and product and services revenues, (ii) net investment income, (iii) proceeds from sales, repayments and maturities of investments, (iv) contributions from holding companies, (v) borrowings from credit facilities and (vi) capital raising activities. The primary uses of cash are expected to be claim payments, policy acquisition costs, general and administrative expenses, broker commission expenses, cost of sales, purchases of investments, payments to tax authorities, payments on and repurchases/retirements of debt obligations, distributions to holding companies, distributions to noncontrolling interest holders and, from time to time, purchases of operating subsidiaries.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Both internal and external forces influence White Mountains’s financial condition, results of operations and cash flows. Collections of premiums, commissions and fees, product and services revenues, investment returns, claim payments and cost of sales may be impacted by changing rates of inflation and other economic conditions. Some time may lapse between the occurrence of an insured loss, the reporting of the loss to White Mountains’s insurance and reinsurance operating subsidiaries and the settlement of the liability for that loss. The exact timing of the payment of losses cannot be predicted with certainty. White Mountains’s insurance and reinsurance operating subsidiaries maintain portfolios of invested assets with varying maturities and a substantial amount of cash and short-term investments to provide adequate liquidity for the payment of claims.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Management believes that White Mountains’s cash balances, cash flows from operations and routine sales and maturities of investments are adequate to meet expected cash requirements for the foreseeable future at both a holding company and insurance, reinsurance and other operating subsidiary level.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Dividend Capacity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Following is a description of the dividend capacity of White Mountains’s insurance and reinsurance and other operating subsidiaries: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Ark/WM Outrigger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any 12-month period, GAIL, a class 4 licensed Bermuda insurer, has the ability to (i) make capital distributions of up to 15% of its total statutory capital per the previous year’s statutory financial statements or (ii) make dividend payments of up to 25% of its total statutory capital and surplus per the previous year’s statutory financial statements, without prior approval of Bermuda regulatory authorities. Accordingly, GAIL will have the ability to pay a dividend of up to $425 million during 2026, which is equal to 25% of its statutory capital and surplus of $1,700 million as of December 31, 2025, subject to meeting all appropriate liquidity and solvency requirements. During the first six months of 2026, GAIL did not pay any dividends to its immediate parent.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first six months of 2026, Ark paid a $51 million dividend to shareholders, including $36 million that was paid to White Mountains. As of June 30, 2026, Ark and its intermediate holding companies had $3 million of net unrestricted cash and short-term investments outside of its regulated and unregulated insurance and reinsurance operating subsidiaries.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WM Outrigger Re is a special purpose insurer subject to regulation and supervision by the BMA. WM Outrigger Re does not require regulatory approval to pay dividends; however, its dividend capacity is limited to amounts held outside of the collateral trust pursuant to its reinsurance agreement with GAIL. As of June 30, 2026, WM Outrigger Re had less than $1 million of net unrestricted cash held outside the collateral trust. As of June 30, 2026, WM Outrigger Re had $91 million of statutory capital and surplus and $123 million of assets held in the collateral trusts pursuant to the reinsurance agreement with GAIL. During the first six months of 2026, White Mountains received $145 million of distributions from WM Outrigger Re. On July 23, 2026, White Mountains received an additional distribution of $77 million.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Kudu</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first six months of 2026, Kudu distributed $9 million to unitholders, substantially all of which was paid to White Mountains. As of June 30, 2026, Kudu had $106 million of net unrestricted cash and short-term investments.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HG Global</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 HG Global had $619 million face value of preferred shares outstanding, of which White Mountains owned 96.9%. Holders of the HG Global preferred shares are entitled to receive cumulative dividends at a fixed annual rate of 6.0% on a quarterly basis, payable when and if declared by HG Global. As of June 30, 2026, HG Global has accrued $485 million of dividends payable to holders of its preferred shares, $471 million of which is payable to White Mountains and is eliminated in consolidation. As of June 30, 2026, HG Global and its subsidiaries had $2 million of net unrestricted cash and short-term investments outside of HG Re.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HG Re is a special purpose insurer subject to regulation and supervision by the BMA. HG Re does not require regulatory approval to pay dividends; however, its dividend capacity is limited to amounts held outside of the Collateral Trusts. As of June 30, 2026, HG Re had $7 million of net unrestricted cash and short-term investments. As of June 30, 2026, HG Re had $193 million of accrued interest on the BAM Surplus Notes held outside the Collateral Trusts. As of June 30, 2026, HG Re had $753 million of statutory capital and surplus and $1,014 million of assets held in the Collateral Trusts.</w:t>
      </w:r>
    </w:p>
    <w:p>
      <w:pPr>
        <w:pStyle w:val="TextBody"/>
        <w:bidi w:val="0"/>
        <w:spacing w:lineRule="auto" w:line="288" w:before="0" w:after="0"/>
        <w:jc w:val="left"/>
        <w:rPr/>
      </w:pPr>
      <w:r>
        <w:rPr>
          <w:rFonts w:ascii="Times New Roman;serif" w:hAnsi="Times New Roman;serif"/>
          <w:b w:val="false"/>
          <w:color w:val="000000"/>
          <w:sz w:val="20"/>
        </w:rPr>
        <w:t xml:space="preserve">HG Global has two primary sources of cash flows: (i) interest payments on the BAM Surplus Notes that are made outside the Collateral Trusts and (ii) releases of excess balances from the Collateral Trusts. During the first six months of 2026, HG Global did not receive any payments of principal and interest on the BAM Surplus Notes. During the first six months of 2026, HG Re received a distribution from the Supplemental Trust of $29 million, which consisted of an assignment of accrued interest on the BAM Surplus Notes of $14 million and a cash distribution of $15 million. See </w:t>
      </w:r>
      <w:r>
        <w:rPr>
          <w:rFonts w:ascii="Times New Roman;serif" w:hAnsi="Times New Roman;serif"/>
          <w:b/>
          <w:color w:val="000000"/>
          <w:sz w:val="20"/>
        </w:rPr>
        <w:t xml:space="preserve">Note 10 — “Municipal Bond Guarantee Reinsurance.”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May 14, 2026, HG Global refinanced its senior debt facility under a private placement transaction. In turn, on May 26, 2026, HG Global paid a $93 million cash dividend to shareholders, of which $90 million was paid to White Mountains.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July 28, 2026, HG Global received a cash payment of principal and interest on the BAM Surplus Notes of $8 million. Of this payment, $5 million was a repayment of principal held in the Supplemental Trust, less than $1 million was a payment of accrued interest held in the Supplemental Trust and $3 million was a payment of accrued interest held outside the Supplemental Trust.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Distinguished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first six months of 2026, Distinguished did not make any distributions to its unitholders. As of June 30, 2026, Distinguished had $12 million of net unrestricted cash and short-term investments.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WTM Partners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first six months of 2026, WTM Partners distributed $3 million to unitholders, of which $2 million was paid to White Mountains. As of June 30, 2026, WTM Partners had $7 million of net unrestricted cash and short-term investments.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Other Operations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first six months of 2026, White Mountains paid a $2 million common share dividend. As of June 30, 2026, the Company and its intermediate holding companies had $516 million of net unrestricted cash, short-term investments and fixed maturity investments, $225 million of MediaAlpha common stock, $169 million of common equity securities and $332 million of private equity and hedge funds, ILS funds and certain unconsolidated entities.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July 1, 2026, White Mountains received a distribution of $26 million from the Bamboo SPV, of which $21 million was a return of capital and $5 million was a dividend.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bookmarkStart w:id="10" w:name="i77d4cc49e2bf4eb38c8872084504f8f3_11937"/>
      <w:bookmarkEnd w:id="10"/>
      <w:r>
        <w:rPr>
          <w:rFonts w:ascii="Times New Roman;serif" w:hAnsi="Times New Roman;serif"/>
          <w:b/>
          <w:color w:val="000000"/>
          <w:sz w:val="20"/>
        </w:rPr>
        <w:t xml:space="preserve">Financing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White Mountains’s capital structure as of June 30, 2026 and December 31, 2025:</w:t>
      </w:r>
    </w:p>
    <w:tbl>
      <w:tblPr>
        <w:tblW w:w="7927" w:type="dxa"/>
        <w:jc w:val="center"/>
        <w:tblInd w:w="0" w:type="dxa"/>
        <w:tblLayout w:type="fixed"/>
        <w:tblCellMar>
          <w:top w:w="28" w:type="dxa"/>
          <w:left w:w="28" w:type="dxa"/>
          <w:bottom w:w="28" w:type="dxa"/>
          <w:right w:w="28" w:type="dxa"/>
        </w:tblCellMar>
      </w:tblPr>
      <w:tblGrid>
        <w:gridCol w:w="1661"/>
        <w:gridCol w:w="1463"/>
        <w:gridCol w:w="1480"/>
        <w:gridCol w:w="109"/>
        <w:gridCol w:w="109"/>
        <w:gridCol w:w="109"/>
        <w:gridCol w:w="382"/>
        <w:gridCol w:w="197"/>
        <w:gridCol w:w="545"/>
        <w:gridCol w:w="109"/>
        <w:gridCol w:w="109"/>
        <w:gridCol w:w="109"/>
        <w:gridCol w:w="511"/>
        <w:gridCol w:w="264"/>
        <w:gridCol w:w="770"/>
      </w:tblGrid>
      <w:tr>
        <w:trPr/>
        <w:tc>
          <w:tcPr>
            <w:tcW w:w="1661"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4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Ark 2021 Subordinated Notes </w:t>
            </w:r>
            <w:r>
              <w:rPr>
                <w:rFonts w:ascii="Times New Roman;serif" w:hAnsi="Times New Roman;serif"/>
                <w:b w:val="false"/>
                <w:color w:val="000000"/>
                <w:sz w:val="10"/>
              </w:rPr>
              <w:t>(1)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w:t>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Kudu Credit Facility </w:t>
            </w:r>
            <w:r>
              <w:rPr>
                <w:rFonts w:ascii="Times New Roman;serif" w:hAnsi="Times New Roman;serif"/>
                <w:b w:val="false"/>
                <w:color w:val="000000"/>
                <w:sz w:val="10"/>
              </w:rPr>
              <w:t>(1)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350.7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350.4</w:t>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HG Global 2026 Senior Notes </w:t>
            </w:r>
            <w:r>
              <w:rPr>
                <w:rFonts w:ascii="Times New Roman;serif" w:hAnsi="Times New Roman;serif"/>
                <w:b w:val="false"/>
                <w:color w:val="000000"/>
                <w:sz w:val="10"/>
              </w:rPr>
              <w:t>(1)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197.4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HG Global 2022 Senior Notes </w:t>
            </w:r>
            <w:r>
              <w:rPr>
                <w:rFonts w:ascii="Times New Roman;serif" w:hAnsi="Times New Roman;serif"/>
                <w:b w:val="false"/>
                <w:color w:val="000000"/>
                <w:sz w:val="10"/>
              </w:rPr>
              <w:t>(1)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w:t>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Distinguished Credit Facility </w:t>
            </w:r>
            <w:r>
              <w:rPr>
                <w:rFonts w:ascii="Times New Roman;serif" w:hAnsi="Times New Roman;serif"/>
                <w:b w:val="false"/>
                <w:color w:val="000000"/>
                <w:sz w:val="10"/>
              </w:rPr>
              <w:t>(1)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w:t>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Distinguished other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WTM Partners Debt </w:t>
            </w:r>
            <w:r>
              <w:rPr>
                <w:rFonts w:ascii="Times New Roman;serif" w:hAnsi="Times New Roman;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w:t>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Operations Debt </w:t>
            </w:r>
            <w:r>
              <w:rPr>
                <w:rFonts w:ascii="Times New Roman;serif" w:hAnsi="Times New Roman;serif"/>
                <w:b w:val="false"/>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932.5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837.0</w:t>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Redeemable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w:t>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Nonredeemable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698.2</w:t>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White Mountains’s common shareholders’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5,388.3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5,425.4</w:t>
            </w:r>
          </w:p>
        </w:tc>
      </w:tr>
      <w:tr>
        <w:trPr/>
        <w:tc>
          <w:tcPr>
            <w:tcW w:w="4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7,184.5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7,092.1</w:t>
            </w:r>
          </w:p>
        </w:tc>
      </w:tr>
      <w:tr>
        <w:trPr/>
        <w:tc>
          <w:tcPr>
            <w:tcW w:w="4604"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to total capital</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w:t>
            </w:r>
            <w:r>
              <w:rPr>
                <w:color w:val="000000"/>
              </w:rPr>
              <w:t> </w:t>
            </w:r>
          </w:p>
        </w:tc>
        <w:tc>
          <w:tcPr>
            <w:tcW w:w="545"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770"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ind w:left="0" w:right="0" w:hanging="27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 xml:space="preserve">See </w:t>
      </w:r>
      <w:r>
        <w:rPr>
          <w:rFonts w:ascii="Times New Roman;serif" w:hAnsi="Times New Roman;serif"/>
          <w:b/>
          <w:color w:val="000000"/>
          <w:sz w:val="16"/>
        </w:rPr>
        <w:t xml:space="preserve">Note 7 — “Debt” </w:t>
      </w:r>
      <w:r>
        <w:rPr>
          <w:rFonts w:ascii="Times New Roman;serif" w:hAnsi="Times New Roman;serif"/>
          <w:b w:val="false"/>
          <w:color w:val="000000"/>
          <w:sz w:val="16"/>
        </w:rPr>
        <w:t>for details of debt arrangements.</w:t>
      </w:r>
    </w:p>
    <w:p>
      <w:pPr>
        <w:pStyle w:val="TextBody"/>
        <w:bidi w:val="0"/>
        <w:spacing w:lineRule="auto" w:line="288" w:before="0" w:after="0"/>
        <w:ind w:left="0" w:right="0" w:hanging="27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Net of unamortized issuance costs and original issue discount.</w:t>
      </w:r>
    </w:p>
    <w:p>
      <w:pPr>
        <w:pStyle w:val="TextBody"/>
        <w:bidi w:val="0"/>
        <w:spacing w:before="0" w:after="0"/>
        <w:ind w:left="0" w:right="0" w:hanging="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a senior unsecured revolving credit facility of up to $250 million that matures on July 16, 2028 (the “WTM Credit Facility”). As of June 30, 2026, the WTM Credit Facility was undrawn.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Management believes that White Mountains has the flexibility and capacity to obtain funds externally through debt or equity financing on both a short-term and long-term basis. However, White Mountains can provide no assurance that, if needed, it would be able to obtain additional debt or equity financing on satisfactory terms, if at all.</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 is possible that the existing ratings for one or more of White Mountains’s subsidiaries may be lowered in the future, which could result in higher borrowing costs and impact White Mountains’s ability to access the capital markets.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Covenant Compliance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 White Mountains was in compliance in all material respects with all of the covenants under its debt instruments.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Share Repurchase Programs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Board of Directors has authorized the Company to repurchase its common shares from time to time, subject to market conditions. Shares may be repurchased on the open market or through privately negotiated transactions. The repurchase authorizations do not have a stated expiration date. As of June 30, 2026, White Mountains may repurchase an additional 170,007 shares under these Board authorizations. In addition, from time to time, White Mountains has also repurchased its common shares through self-tender offers that were separately authorized by its Board of Directors.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first six months of 2026, White Mountains repurchased and retired 103,816 of its common shares for $217 million at an average share price of $2,088, which was approximately 93% of White Mountains’s book value per share as of June 30, 2026. Of the shares White Mountains repurchased in the first six months of 2026, 4,229 were to satisfy employee income tax withholding pursuant to employee benefit plans, which do not reduce the amount available under the Board repurchase authorizations.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first six months of 2025, White Mountains repurchased and retired 5,097 of its common shares for $10 million at an average share price of $1,945, which was approximately 108% of White Mountains’s book value per share as of June 30, 2025. All of the shares White Mountains repurchased in the first six months of 2025 were to satisfy employee income tax withholding pursuant to employee benefit plans, which do not reduce the amount available under the Board repurchase authorizations.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Cash Flows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Detailed information concerning White Mountains’s cash flows from continuing operations during the six months ended June 30, 2026 and 2025 follows: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Cash flows from operations for the six months ended June 30, 2026 and June 30,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for operations was $25 million for the first six months of 2026 compared to net cash provided from operations of $137 million for the first six months of 2025. The decrease in cash provided from operations was driven primarily by an increase in cash used for operations at Ark/WM Outrigger Re and Distinguished as well as a decrease in cash as a result of the sale of Bamboo, partially offset by proceeds from a sale transaction at Kudu. As of June 30, 2026, the Company and its intermediate holding companies had $516 million of net unrestricted cash, short-term investments and fixed maturity investments, $225 million of MediaAlpha common stock, $169 million of common equity securities and $332 million of private equity funds, hedge funds, ILS funds and certain unconsolidated entities.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Cash flows from investing and financing activities for the six months ended June 30, 2026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Financing and Other Capital Activities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first six months of 2026, the Company declared and paid a $2 million cash dividend to its common shareholders.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first six months of 2026, White Mountains repurchased and retired 103,816 of its common shares for $217 million, of which 4,229 were to satisfy employee income tax withholding pursuant to employee benefit plans.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May 14, 2026, HG Global refinanced the HG Global 2022 Senior Notes under a private placement transaction. In the refinancing, HG Global issued $200 million face value fixed rate secured senior notes with a maturity date of May 14, 2036 and received net proceeds of $197 million. HG Global used $150 million of these proceeds to repay the outstanding principal on the HG Global 2022 Senior Notes.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first six months of 2026, Kudu repurchased $19 million of management equity incentives.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first six months of 2026, Distinguished repaid $1 million of the Distinguished Credit Facility.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Acquisitions and Dispositions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April 1, 2026, WTM Partners closed the Basesix Transaction. WTM Partners paid $97 million of cash consideration, which included a post-acquisition capital contribution of $1 million, and Basesix borrowed $20 million in new debt as part of the transaction.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May 1, 2026, Enterprise Solutions closed the Hawkeye Electric Transaction. Enterprise Solutions paid $67 million of cash consideration, including net debt financing of $26 million. In addition, Hawkeye Electric utilized $6 million of cash on hand as part of the transaction.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Cash flows from investing and financing activities for the six months ended June 30, 2025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Financing and Other Capital Activities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first six months of 2025, the Company declared and paid a $3 million cash dividend to its common shareholders.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first six months of 2025, White Mountains repurchased and retired 5,097 of its common shares for $10 million, all of which were to satisfy employee income tax withholding pursuant to employee benefit plans.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first six months of 2025, Kudu borrowed $8 million in term loans under the Kudu Credit Facility.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first six months of 2025, White Mountains contributed $15 million to Kudu, which was used to repurchase certain management equity incentives that were then replaced with new equity incentive units.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first six months of 2025, Bamboo borrowed $110 million in term loans under the Bamboo Credit Facility.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Acquisitions and Dispositions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April 1, 2025, WTM Partners closed the Enterprise Solutions Transaction. WTM Partners paid $58 million of cash consideration, which included a post-acquisition capital contribution of $2 million, and Enterprise Solutions borrowed $15 million in new debt as part of the transaction.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NON-GAAP FINANCIAL MEASURES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report includes eleven non-GAAP financial measures that have been reconciled from their most comparable GAAP financial measures.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Ark’s tangible book value, growth in tangible book value and tangible capital</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Ark’s tangible book value, growth in tangible book value and tangible capital are non-GAAP financial measures. Tangible book value is a non-GAAP financial measure derived by adjusting GAAP book value to exclude (i) goodwill and other intangible assets, (ii) the deferred tax liability on other intangible assets and (iii) the contingent consideration liability. The contingent consideration liability represents the estimated fair value of the additional shares that could be earned by management rollover shareholders if and to the extent that White Mountains achieves certain MOIC return thresholds. If earned, these additional shares would result in a reallocation of economics among Ark’s shareholders, which is reflected in the fair value of the contingent consideration liability recorded by White Mountains, but would have no impact on Ark’s stand-alone book value or tangible book value. Growth in tangible book value equals the change in tangible book value plus dividends for the period divided by beginning tangible book value. Ark’s tangible capital is a non-GAAP financial measure derived by adding debt to tangible book value. White Mountains believes that these non-GAAP financial measures are useful to management and investors in evaluating Ark’s enterprise value.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reconciliation of Ark’s GAAP book value to tangible book value and tangible capital:</w:t>
      </w:r>
    </w:p>
    <w:tbl>
      <w:tblPr>
        <w:tblW w:w="10205" w:type="dxa"/>
        <w:jc w:val="left"/>
        <w:tblInd w:w="0" w:type="dxa"/>
        <w:tblLayout w:type="fixed"/>
        <w:tblCellMar>
          <w:top w:w="28" w:type="dxa"/>
          <w:left w:w="28" w:type="dxa"/>
          <w:bottom w:w="28" w:type="dxa"/>
          <w:right w:w="28" w:type="dxa"/>
        </w:tblCellMar>
      </w:tblPr>
      <w:tblGrid>
        <w:gridCol w:w="1807"/>
        <w:gridCol w:w="1490"/>
        <w:gridCol w:w="1493"/>
        <w:gridCol w:w="109"/>
        <w:gridCol w:w="109"/>
        <w:gridCol w:w="109"/>
        <w:gridCol w:w="211"/>
        <w:gridCol w:w="781"/>
        <w:gridCol w:w="301"/>
        <w:gridCol w:w="109"/>
        <w:gridCol w:w="109"/>
        <w:gridCol w:w="109"/>
        <w:gridCol w:w="211"/>
        <w:gridCol w:w="766"/>
        <w:gridCol w:w="271"/>
        <w:gridCol w:w="109"/>
        <w:gridCol w:w="109"/>
        <w:gridCol w:w="109"/>
        <w:gridCol w:w="274"/>
        <w:gridCol w:w="1000"/>
        <w:gridCol w:w="353"/>
        <w:gridCol w:w="109"/>
        <w:gridCol w:w="157"/>
      </w:tblGrid>
      <w:tr>
        <w:trPr/>
        <w:tc>
          <w:tcPr>
            <w:tcW w:w="1807"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Ark’s GAAP book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1,615.0</w:t>
            </w:r>
            <w:r>
              <w:rPr>
                <w:color w:val="000000"/>
              </w:rPr>
              <w:t> </w:t>
            </w:r>
          </w:p>
        </w:tc>
        <w:tc>
          <w:tcPr>
            <w:tcW w:w="3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1,547.1 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1,593.9 </w:t>
            </w:r>
          </w:p>
        </w:tc>
        <w:tc>
          <w:tcPr>
            <w:tcW w:w="3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Less: goodwill and other intangible assets, net</w:t>
            </w:r>
            <w:r>
              <w:rPr>
                <w:color w:val="000000"/>
              </w:rPr>
              <w:t xml:space="preserve"> </w:t>
            </w:r>
            <w:r>
              <w:rPr>
                <w:rFonts w:ascii="Times New Roman;serif" w:hAnsi="Times New Roman;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(248.6)</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(248.6)</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(248.6)</w:t>
            </w:r>
          </w:p>
        </w:tc>
        <w:tc>
          <w:tcPr>
            <w:tcW w:w="3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Plus: contingent consideration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370.0</w:t>
            </w: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328.3 </w:t>
            </w:r>
          </w:p>
        </w:tc>
        <w:tc>
          <w:tcPr>
            <w:tcW w:w="3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Ark’s tangible book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1,736.4</w:t>
            </w:r>
            <w:r>
              <w:rPr>
                <w:color w:val="000000"/>
              </w:rPr>
              <w:t> </w:t>
            </w:r>
          </w:p>
        </w:tc>
        <w:tc>
          <w:tcPr>
            <w:tcW w:w="3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1,636.8 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1,673.6 </w:t>
            </w:r>
          </w:p>
        </w:tc>
        <w:tc>
          <w:tcPr>
            <w:tcW w:w="3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Plus: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159.0</w:t>
            </w: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159.7 </w:t>
            </w:r>
          </w:p>
        </w:tc>
        <w:tc>
          <w:tcPr>
            <w:tcW w:w="3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Ark’s tangible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1,895.4</w:t>
            </w:r>
            <w:r>
              <w:rPr>
                <w:color w:val="000000"/>
              </w:rPr>
              <w:t> </w:t>
            </w:r>
          </w:p>
        </w:tc>
        <w:tc>
          <w:tcPr>
            <w:tcW w:w="30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1,796.1 </w:t>
            </w:r>
          </w:p>
        </w:tc>
        <w:tc>
          <w:tcPr>
            <w:tcW w:w="27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1,833.3 </w:t>
            </w:r>
          </w:p>
        </w:tc>
        <w:tc>
          <w:tcPr>
            <w:tcW w:w="35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Year-to-date dividends declared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50.5</w:t>
            </w:r>
            <w:r>
              <w:rPr>
                <w:color w:val="000000"/>
              </w:rPr>
              <w:t> </w:t>
            </w:r>
          </w:p>
        </w:tc>
        <w:tc>
          <w:tcPr>
            <w:tcW w:w="3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0"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3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Quarter-to-date growth in GAAP book value, including dividends: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w:t>
            </w:r>
            <w:r>
              <w:rPr>
                <w:color w:val="000000"/>
              </w:rPr>
              <w:t>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35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Quarter-to-date growth in tangible book value, including dividends: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w:t>
            </w:r>
            <w:r>
              <w:rPr>
                <w:color w:val="000000"/>
              </w:rPr>
              <w:t>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5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Year-to-date growth in GAAP book value, including dividends: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w:t>
            </w:r>
            <w:r>
              <w:rPr>
                <w:color w:val="000000"/>
              </w:rPr>
              <w:t> </w:t>
            </w:r>
          </w:p>
        </w:tc>
        <w:tc>
          <w:tcPr>
            <w:tcW w:w="30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7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35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Year-to-date growth in tangible book value, including dividends: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w:t>
            </w:r>
            <w:r>
              <w:rPr>
                <w:color w:val="000000"/>
              </w:rPr>
              <w:t> </w:t>
            </w:r>
          </w:p>
        </w:tc>
        <w:tc>
          <w:tcPr>
            <w:tcW w:w="30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71"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353" w:type="dxa"/>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27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 xml:space="preserve">Amounts are net of deferred tax liabilities related to other intangible assets of $43.9.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Kudu’s EBITDA and adjusted EBITDA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Kudu's EBITDA and adjusted EBITDA are non-GAAP financial measures. EBITDA is a non-GAAP financial measure that adds back interest expense on debt, income tax (expense) benefit, depreciation and amortization of other intangible assets to GAAP net income (loss). Adjusted EBITDA is a non-GAAP financial measure that excludes certain other items in GAAP net income (loss) in addition to those added back to calculate EBITDA. The items relate to (i) net realized and unrealized investment gains (losses) on Kudu's Participation Contracts and (ii) transaction expenses. A description of each item follows: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Net realized and unrealized investment gains (losses)</w:t>
      </w:r>
      <w:r>
        <w:rPr>
          <w:color w:val="000000"/>
        </w:rPr>
        <w:t xml:space="preserve"> </w:t>
      </w:r>
      <w:r>
        <w:rPr>
          <w:rFonts w:ascii="Times New Roman;serif" w:hAnsi="Times New Roman;serif"/>
          <w:b w:val="false"/>
          <w:color w:val="000000"/>
          <w:sz w:val="20"/>
        </w:rPr>
        <w:t>- Represents net unrealized investment gains and losses recorded on Kudu’s Participation Contracts, which are recorded at fair value under GAAP, and realized investment gains and losses on Kudu’s Participation Contracts sold during the period.</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Transaction expenses</w:t>
      </w:r>
      <w:r>
        <w:rPr>
          <w:color w:val="000000"/>
        </w:rPr>
        <w:t xml:space="preserve"> </w:t>
      </w:r>
      <w:r>
        <w:rPr>
          <w:rFonts w:ascii="Times New Roman;serif" w:hAnsi="Times New Roman;serif"/>
          <w:b w:val="false"/>
          <w:color w:val="000000"/>
          <w:sz w:val="20"/>
        </w:rPr>
        <w:t>- Represents costs directly related to Kudu’s mergers and acquisitions activity, such as external lawyer, banker, consulting and placement agent fees, which are not capitalized and are expensed under GAAP.</w:t>
      </w:r>
    </w:p>
    <w:p>
      <w:pPr>
        <w:pStyle w:val="TextBody"/>
        <w:bidi w:val="0"/>
        <w:spacing w:lineRule="auto" w:line="288" w:before="0" w:after="0"/>
        <w:jc w:val="left"/>
        <w:rPr/>
      </w:pPr>
      <w:r>
        <w:rPr>
          <w:rFonts w:ascii="Times New Roman;serif" w:hAnsi="Times New Roman;serif"/>
          <w:b w:val="false"/>
          <w:color w:val="000000"/>
          <w:sz w:val="20"/>
        </w:rPr>
        <w:t>White Mountains believes that these non-GAAP financial measures are useful to management and investors in evaluating Kudu’s underlying performance.</w:t>
      </w:r>
      <w:r>
        <w:rPr>
          <w:color w:val="000000"/>
        </w:rPr>
        <w:t xml:space="preserve"> </w:t>
      </w:r>
      <w:r>
        <w:rPr>
          <w:rFonts w:ascii="Times New Roman;serif" w:hAnsi="Times New Roman;serif"/>
          <w:b w:val="false"/>
          <w:color w:val="000000"/>
          <w:sz w:val="20"/>
        </w:rPr>
        <w:t xml:space="preserve">See page </w:t>
      </w:r>
      <w:hyperlink w:anchor="if3b6a78c08cc435986c2cd9f5808536f_148">
        <w:r>
          <w:rPr>
            <w:rStyle w:val="InternetLink"/>
            <w:rFonts w:ascii="Times New Roman;serif" w:hAnsi="Times New Roman;serif"/>
            <w:b w:val="false"/>
            <w:strike w:val="false"/>
            <w:dstrike w:val="false"/>
            <w:color w:val="000000"/>
            <w:sz w:val="20"/>
            <w:u w:val="none"/>
            <w:effect w:val="none"/>
          </w:rPr>
          <w:t>68</w:t>
        </w:r>
      </w:hyperlink>
      <w:r>
        <w:rPr>
          <w:rFonts w:ascii="Times New Roman;serif" w:hAnsi="Times New Roman;serif"/>
          <w:b w:val="false"/>
          <w:color w:val="000000"/>
          <w:sz w:val="20"/>
        </w:rPr>
        <w:t xml:space="preserve"> for the reconciliation of Kudu’s GAAP net income (loss) to EBITDA and adjusted EBITDA.</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Distinguished’s ScaleCo net income (loss), ScaleCo EBITDA and ScaleCo adjusted EBITDA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Distinguished’s ScaleCo net income (loss), ScaleCo EBITDA and ScaleCo adjusted EBITDA are non-GAAP financial measures. ScaleCo net income (loss) is a non-GAAP financial measure that excludes the results of the GrowthCo vertical, which is consolidated under GAAP, from Distinguished’s consolidated GAAP net income (loss). ScaleCo EBITDA is a non-GAAP financial measure that adds back interest expense on debt, income tax (expense) benefit, depreciation and amortization of other intangible assets to ScaleCo net income (loss). ScaleCo adjusted EBITDA is a non-GAAP financial measure that excludes certain other items in GAAP net income (loss) in addition to those items added back to calculate ScaleCo EBITDA. The items relate to (i) non-cash equity-based compensation expense, (ii) restructuring expenses and (iii) legal settlement expenses. A description of each item follows: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Non-cash equity-based compensation expense</w:t>
      </w:r>
      <w:r>
        <w:rPr>
          <w:color w:val="000000"/>
        </w:rPr>
        <w:t xml:space="preserve"> </w:t>
      </w:r>
      <w:r>
        <w:rPr>
          <w:rFonts w:ascii="Times New Roman;serif" w:hAnsi="Times New Roman;serif"/>
          <w:b w:val="false"/>
          <w:color w:val="000000"/>
          <w:sz w:val="20"/>
        </w:rPr>
        <w:t>- Represents non-cash expenses related to Distinguished’s management compensation that are settled with equity units in Distinguished.</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Restructuring expenses</w:t>
      </w:r>
      <w:r>
        <w:rPr>
          <w:color w:val="000000"/>
        </w:rPr>
        <w:t xml:space="preserve"> </w:t>
      </w:r>
      <w:r>
        <w:rPr>
          <w:rFonts w:ascii="Times New Roman;serif" w:hAnsi="Times New Roman;serif"/>
          <w:b w:val="false"/>
          <w:color w:val="000000"/>
          <w:sz w:val="20"/>
        </w:rPr>
        <w:t>- Represents costs related to Distinguished’s corporate restructuring and capital planning activities.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 xml:space="preserve">Legal settlement expenses - </w:t>
      </w:r>
      <w:r>
        <w:rPr>
          <w:rFonts w:ascii="Times New Roman;serif" w:hAnsi="Times New Roman;serif"/>
          <w:b w:val="false"/>
          <w:color w:val="000000"/>
          <w:sz w:val="20"/>
        </w:rPr>
        <w:t>Represents amounts incurred related to legal settlements.</w:t>
      </w:r>
    </w:p>
    <w:p>
      <w:pPr>
        <w:pStyle w:val="TextBody"/>
        <w:bidi w:val="0"/>
        <w:spacing w:lineRule="auto" w:line="288" w:before="0" w:after="0"/>
        <w:jc w:val="left"/>
        <w:rPr/>
      </w:pPr>
      <w:r>
        <w:rPr>
          <w:rFonts w:ascii="Times New Roman;serif" w:hAnsi="Times New Roman;serif"/>
          <w:b w:val="false"/>
          <w:color w:val="000000"/>
          <w:sz w:val="20"/>
        </w:rPr>
        <w:t xml:space="preserve">White Mountains believes that these non-GAAP financial measures are useful to management and investors in evaluating Distinguished’s underlying performance. White Mountains also believes that excluding the results of the GrowthCo vertical, which Distinguished views as an investment in start-up programs, is useful to understanding the underlying performance of Distinguished’s established programs. See page </w:t>
      </w:r>
      <w:hyperlink w:anchor="i77a46f1aa81e4bbbab32126031c5305e_2112">
        <w:r>
          <w:rPr>
            <w:rStyle w:val="InternetLink"/>
            <w:rFonts w:ascii="Times New Roman;serif" w:hAnsi="Times New Roman;serif"/>
            <w:b w:val="false"/>
            <w:strike w:val="false"/>
            <w:dstrike w:val="false"/>
            <w:color w:val="000000"/>
            <w:sz w:val="20"/>
            <w:u w:val="none"/>
            <w:effect w:val="none"/>
          </w:rPr>
          <w:t>74</w:t>
        </w:r>
      </w:hyperlink>
      <w:r>
        <w:rPr>
          <w:rFonts w:ascii="Times New Roman;serif" w:hAnsi="Times New Roman;serif"/>
          <w:b w:val="false"/>
          <w:color w:val="000000"/>
          <w:sz w:val="20"/>
        </w:rPr>
        <w:t xml:space="preserve"> for the reconciliation of Distinguished’s consolidated GAAP net income (loss) to ScaleCo net income (loss), ScaleCo EBITDA and ScaleCo adjusted EBITDA.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WTM Partners’s EBITDA and adjusted EBITDA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WTM Partners’s EBITDA and adjusted EBITDA are non-GAAP financial measures. EBITDA is a non-GAAP financial measure that adds back interest expense on debt, income tax (expense) benefit, depreciation and amortization of other intangible assets to GAAP net income (loss). Adjusted EBITDA is a non-GAAP financial measure that excludes certain other items in GAAP net income (loss) in addition to those added back to calculate EBITDA. The items relate to (i) transaction expenses and (ii) restructuring and integration expenses. A description of each item follows: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Transaction expenses</w:t>
      </w:r>
      <w:r>
        <w:rPr>
          <w:color w:val="000000"/>
        </w:rPr>
        <w:t xml:space="preserve"> </w:t>
      </w:r>
      <w:r>
        <w:rPr>
          <w:rFonts w:ascii="Times New Roman;serif" w:hAnsi="Times New Roman;serif"/>
          <w:b w:val="false"/>
          <w:color w:val="000000"/>
          <w:sz w:val="20"/>
        </w:rPr>
        <w:t>- Represents costs directly related to WTM Partners’s mergers and acquisitions activity, such as external lawyer, banker, consulting and placement agent fees, which are not capitalized and are expensed under GAAP.</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Restructuring and integration expenses</w:t>
      </w:r>
      <w:r>
        <w:rPr>
          <w:color w:val="000000"/>
        </w:rPr>
        <w:t xml:space="preserve"> </w:t>
      </w:r>
      <w:r>
        <w:rPr>
          <w:rFonts w:ascii="Times New Roman;serif" w:hAnsi="Times New Roman;serif"/>
          <w:b w:val="false"/>
          <w:color w:val="000000"/>
          <w:sz w:val="20"/>
        </w:rPr>
        <w:t>- Represents costs related to WTM Partners’s corporate restructuring and mergers and acquisitions integration activities.</w:t>
      </w:r>
    </w:p>
    <w:p>
      <w:pPr>
        <w:pStyle w:val="TextBody"/>
        <w:bidi w:val="0"/>
        <w:spacing w:lineRule="auto" w:line="288" w:before="0" w:after="0"/>
        <w:jc w:val="left"/>
        <w:rPr/>
      </w:pPr>
      <w:r>
        <w:rPr>
          <w:rFonts w:ascii="Times New Roman;serif" w:hAnsi="Times New Roman;serif"/>
          <w:b w:val="false"/>
          <w:color w:val="000000"/>
          <w:sz w:val="20"/>
        </w:rPr>
        <w:t xml:space="preserve">White Mountains believes that these non-GAAP financial measures are useful to management and investors in evaluating WTM Partners’s underlying performance. See page </w:t>
      </w:r>
      <w:hyperlink w:anchor="ib5616325a43c4dc2b2a6cc3d6f1bd2de_0-0-22-9-663908">
        <w:r>
          <w:rPr>
            <w:rStyle w:val="InternetLink"/>
            <w:rFonts w:ascii="Times New Roman;serif" w:hAnsi="Times New Roman;serif"/>
            <w:b w:val="false"/>
            <w:strike w:val="false"/>
            <w:dstrike w:val="false"/>
            <w:color w:val="000000"/>
            <w:sz w:val="20"/>
            <w:u w:val="none"/>
            <w:effect w:val="none"/>
          </w:rPr>
          <w:t>76</w:t>
        </w:r>
      </w:hyperlink>
      <w:r>
        <w:rPr>
          <w:rFonts w:ascii="Times New Roman;serif" w:hAnsi="Times New Roman;serif"/>
          <w:b w:val="false"/>
          <w:color w:val="000000"/>
          <w:sz w:val="20"/>
        </w:rPr>
        <w:t xml:space="preserve"> for the reconciliation of WTM Partners’s GAAP net income (loss) to EBITDA and adjusted EBITDA.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Total consolidated portfolio return excluding MediaAlpha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consolidated portfolio return excluding MediaAlpha is a non-GAAP financial measure that removes the net investment income and net realized and unrealized investment gains (losses) from White Mountains’s investment in MediaAlpha. White Mountains believes this measure to be useful to management and investors by showing the underlying performance of White Mountains’s investment portfolio without regard to White Mountains’s investment in MediaAlpha.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return reconciliations from GAAP to the reported percentages for the three and six months ended June 30, 2026 and 2025:</w:t>
      </w:r>
    </w:p>
    <w:tbl>
      <w:tblPr>
        <w:tblW w:w="10205" w:type="dxa"/>
        <w:jc w:val="center"/>
        <w:tblInd w:w="0" w:type="dxa"/>
        <w:tblLayout w:type="fixed"/>
        <w:tblCellMar>
          <w:top w:w="28" w:type="dxa"/>
          <w:left w:w="28" w:type="dxa"/>
          <w:bottom w:w="28" w:type="dxa"/>
          <w:right w:w="28" w:type="dxa"/>
        </w:tblCellMar>
      </w:tblPr>
      <w:tblGrid>
        <w:gridCol w:w="1743"/>
        <w:gridCol w:w="1532"/>
        <w:gridCol w:w="1537"/>
        <w:gridCol w:w="109"/>
        <w:gridCol w:w="109"/>
        <w:gridCol w:w="109"/>
        <w:gridCol w:w="238"/>
        <w:gridCol w:w="240"/>
        <w:gridCol w:w="506"/>
        <w:gridCol w:w="183"/>
        <w:gridCol w:w="183"/>
        <w:gridCol w:w="183"/>
        <w:gridCol w:w="238"/>
        <w:gridCol w:w="240"/>
        <w:gridCol w:w="455"/>
        <w:gridCol w:w="109"/>
        <w:gridCol w:w="109"/>
        <w:gridCol w:w="109"/>
        <w:gridCol w:w="210"/>
        <w:gridCol w:w="211"/>
        <w:gridCol w:w="458"/>
        <w:gridCol w:w="166"/>
        <w:gridCol w:w="166"/>
        <w:gridCol w:w="166"/>
        <w:gridCol w:w="203"/>
        <w:gridCol w:w="203"/>
        <w:gridCol w:w="490"/>
      </w:tblGrid>
      <w:tr>
        <w:trPr/>
        <w:tc>
          <w:tcPr>
            <w:tcW w:w="1743" w:type="dxa"/>
            <w:tcBorders/>
            <w:vAlign w:val="center"/>
          </w:tcPr>
          <w:p>
            <w:pPr>
              <w:pStyle w:val="TableContents"/>
              <w:bidi w:val="0"/>
              <w:spacing w:before="0" w:after="283"/>
              <w:jc w:val="left"/>
              <w:rPr>
                <w:sz w:val="4"/>
                <w:szCs w:val="4"/>
              </w:rPr>
            </w:pPr>
            <w:r>
              <w:rPr>
                <w:sz w:val="4"/>
                <w:szCs w:val="4"/>
              </w:rPr>
            </w:r>
          </w:p>
        </w:tc>
        <w:tc>
          <w:tcPr>
            <w:tcW w:w="1532"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48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portfolio return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w:t>
            </w:r>
            <w:r>
              <w:rPr>
                <w:color w:val="000000"/>
              </w:rPr>
              <w:t> </w:t>
            </w:r>
          </w:p>
        </w:tc>
        <w:tc>
          <w:tcPr>
            <w:tcW w:w="5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45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w:t>
            </w:r>
            <w:r>
              <w:rPr>
                <w:color w:val="000000"/>
              </w:rPr>
              <w:t> </w:t>
            </w:r>
          </w:p>
        </w:tc>
        <w:tc>
          <w:tcPr>
            <w:tcW w:w="45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49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8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Remove MediaAlpha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(0.7)</w:t>
            </w:r>
          </w:p>
        </w:tc>
        <w:tc>
          <w:tcPr>
            <w:tcW w:w="5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4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0.1</w:t>
            </w:r>
            <w:r>
              <w:rPr>
                <w:color w:val="000000"/>
              </w:rPr>
              <w:t> </w:t>
            </w:r>
          </w:p>
        </w:tc>
        <w:tc>
          <w:tcPr>
            <w:tcW w:w="4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490"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12"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consolidated portfolio return excluding MediaAlpha</w:t>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w:t>
            </w:r>
            <w:r>
              <w:rPr>
                <w:color w:val="000000"/>
              </w:rPr>
              <w:t> </w:t>
            </w:r>
          </w:p>
        </w:tc>
        <w:tc>
          <w:tcPr>
            <w:tcW w:w="5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549"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7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45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w:t>
            </w:r>
            <w:r>
              <w:rPr>
                <w:color w:val="000000"/>
              </w:rPr>
              <w:t> </w:t>
            </w:r>
          </w:p>
        </w:tc>
        <w:tc>
          <w:tcPr>
            <w:tcW w:w="4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498"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49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Refer to the Company’s 2025 Annual Report on Form 10-K for a complete discussion regarding White Mountains’s critical accounting estimates.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report may contain “forward-looking statements” within the meaning of Section 27A of the Securities Act of 1933 and Section 21E of the Securities Exchange Act of 1934. All statements, other than statements of historical facts, included or referenced in this report which address activities, events or developments which White Mountains expects or anticipates will or may occur in the future are forward-looking statements. The words “may,” “could,” “will,” “believe,” “intend,” “expect,” “anticipate,” “project,” “estimate,” “predict” and similar expressions are also intended to identify forward-looking statements. These forward-looking statements include, among others, statements with respect to White Mountains’s:</w:t>
      </w:r>
    </w:p>
    <w:p>
      <w:pPr>
        <w:pStyle w:val="TextBody"/>
        <w:bidi w:val="0"/>
        <w:spacing w:before="0" w:after="0"/>
        <w:jc w:val="left"/>
        <w:rPr/>
      </w:pPr>
      <w:r>
        <w:rPr/>
      </w:r>
    </w:p>
    <w:p>
      <w:pPr>
        <w:pStyle w:val="TextBody"/>
        <w:bidi w:val="0"/>
        <w:spacing w:lineRule="auto" w:line="276" w:before="0" w:after="0"/>
        <w:ind w:left="0" w:right="0" w:hanging="180"/>
        <w:jc w:val="left"/>
        <w:rPr/>
      </w:pPr>
      <w:r>
        <w:rPr>
          <w:color w:val="000000"/>
        </w:rPr>
        <w:t>•</w:t>
      </w:r>
      <w:r>
        <w:rPr>
          <w:rFonts w:ascii="Times New Roman;serif" w:hAnsi="Times New Roman;serif"/>
          <w:b w:val="false"/>
          <w:color w:val="000000"/>
          <w:sz w:val="20"/>
        </w:rPr>
        <w:t>change in book value per share or return on equity;</w:t>
      </w:r>
    </w:p>
    <w:p>
      <w:pPr>
        <w:pStyle w:val="TextBody"/>
        <w:bidi w:val="0"/>
        <w:spacing w:lineRule="auto" w:line="288" w:before="0" w:after="0"/>
        <w:ind w:left="0" w:right="0" w:hanging="180"/>
        <w:jc w:val="left"/>
        <w:rPr/>
      </w:pPr>
      <w:r>
        <w:rPr>
          <w:color w:val="000000"/>
        </w:rPr>
        <w:t>•</w:t>
      </w:r>
      <w:r>
        <w:rPr>
          <w:rFonts w:ascii="Times New Roman;serif" w:hAnsi="Times New Roman;serif"/>
          <w:b w:val="false"/>
          <w:color w:val="000000"/>
          <w:sz w:val="20"/>
        </w:rPr>
        <w:t>business strategy;</w:t>
      </w:r>
    </w:p>
    <w:p>
      <w:pPr>
        <w:pStyle w:val="TextBody"/>
        <w:bidi w:val="0"/>
        <w:spacing w:lineRule="auto" w:line="288" w:before="0" w:after="0"/>
        <w:ind w:left="0" w:right="0" w:hanging="180"/>
        <w:jc w:val="left"/>
        <w:rPr/>
      </w:pPr>
      <w:r>
        <w:rPr>
          <w:color w:val="000000"/>
        </w:rPr>
        <w:t>•</w:t>
      </w:r>
      <w:r>
        <w:rPr>
          <w:rFonts w:ascii="Times New Roman;serif" w:hAnsi="Times New Roman;serif"/>
          <w:b w:val="false"/>
          <w:color w:val="000000"/>
          <w:sz w:val="20"/>
        </w:rPr>
        <w:t>financial and operating targets or plans;</w:t>
      </w:r>
    </w:p>
    <w:p>
      <w:pPr>
        <w:pStyle w:val="TextBody"/>
        <w:bidi w:val="0"/>
        <w:spacing w:lineRule="auto" w:line="288" w:before="0" w:after="0"/>
        <w:ind w:left="0" w:right="0" w:hanging="180"/>
        <w:jc w:val="left"/>
        <w:rPr/>
      </w:pPr>
      <w:r>
        <w:rPr>
          <w:color w:val="000000"/>
        </w:rPr>
        <w:t>•</w:t>
      </w:r>
      <w:r>
        <w:rPr>
          <w:rFonts w:ascii="Times New Roman;serif" w:hAnsi="Times New Roman;serif"/>
          <w:b w:val="false"/>
          <w:color w:val="000000"/>
          <w:sz w:val="20"/>
        </w:rPr>
        <w:t>incurred loss and LAE and the adequacy of its loss and LAE reserves and related reinsurance;</w:t>
      </w:r>
    </w:p>
    <w:p>
      <w:pPr>
        <w:pStyle w:val="TextBody"/>
        <w:bidi w:val="0"/>
        <w:spacing w:lineRule="auto" w:line="276" w:before="0" w:after="0"/>
        <w:ind w:left="0" w:right="0" w:hanging="180"/>
        <w:jc w:val="left"/>
        <w:rPr/>
      </w:pPr>
      <w:r>
        <w:rPr>
          <w:color w:val="000000"/>
        </w:rPr>
        <w:t>•</w:t>
      </w:r>
      <w:r>
        <w:rPr>
          <w:rFonts w:ascii="Times New Roman;serif" w:hAnsi="Times New Roman;serif"/>
          <w:b w:val="false"/>
          <w:color w:val="000000"/>
          <w:sz w:val="20"/>
        </w:rPr>
        <w:t>projections of revenues, income (or loss), earnings (or loss) per share, EBITDA, adjusted EBITDA, dividends, market share or other financial forecasts of White Mountains or its businesses;</w:t>
      </w:r>
    </w:p>
    <w:p>
      <w:pPr>
        <w:pStyle w:val="TextBody"/>
        <w:bidi w:val="0"/>
        <w:spacing w:lineRule="auto" w:line="288" w:before="0" w:after="0"/>
        <w:ind w:left="0" w:right="0" w:hanging="180"/>
        <w:jc w:val="left"/>
        <w:rPr/>
      </w:pPr>
      <w:r>
        <w:rPr>
          <w:color w:val="000000"/>
        </w:rPr>
        <w:t>•</w:t>
      </w:r>
      <w:r>
        <w:rPr>
          <w:rFonts w:ascii="Times New Roman;serif" w:hAnsi="Times New Roman;serif"/>
          <w:b w:val="false"/>
          <w:color w:val="000000"/>
          <w:sz w:val="20"/>
        </w:rPr>
        <w:t>expansion and growth of its business and operations; and</w:t>
      </w:r>
    </w:p>
    <w:p>
      <w:pPr>
        <w:pStyle w:val="TextBody"/>
        <w:bidi w:val="0"/>
        <w:spacing w:lineRule="auto" w:line="288" w:before="0" w:after="0"/>
        <w:ind w:left="0" w:right="0" w:hanging="180"/>
        <w:jc w:val="left"/>
        <w:rPr/>
      </w:pPr>
      <w:r>
        <w:rPr>
          <w:color w:val="000000"/>
        </w:rPr>
        <w:t>•</w:t>
      </w:r>
      <w:r>
        <w:rPr>
          <w:rFonts w:ascii="Times New Roman;serif" w:hAnsi="Times New Roman;serif"/>
          <w:b w:val="false"/>
          <w:color w:val="000000"/>
          <w:sz w:val="20"/>
        </w:rPr>
        <w:t>future capital expenditures.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These statements are based on certain assumptions and analyses made by White Mountains in light of its experience and perception of historical trends, current conditions and expected future developments, as well as other factors believed to be appropriate in the circumstances. However, whether actual results and developments will conform to its expectations and predictions is subject to risks and uncertainties that could cause actual results to differ materially from expectations, including:</w:t>
      </w:r>
    </w:p>
    <w:p>
      <w:pPr>
        <w:pStyle w:val="TextBody"/>
        <w:bidi w:val="0"/>
        <w:spacing w:before="0" w:after="0"/>
        <w:jc w:val="left"/>
        <w:rPr/>
      </w:pPr>
      <w:r>
        <w:rPr/>
      </w:r>
    </w:p>
    <w:p>
      <w:pPr>
        <w:pStyle w:val="TextBody"/>
        <w:bidi w:val="0"/>
        <w:spacing w:lineRule="auto" w:line="288" w:before="0" w:after="0"/>
        <w:ind w:left="0" w:right="0" w:hanging="180"/>
        <w:jc w:val="left"/>
        <w:rPr/>
      </w:pPr>
      <w:r>
        <w:rPr>
          <w:color w:val="000000"/>
        </w:rPr>
        <w:t>•</w:t>
      </w:r>
      <w:r>
        <w:rPr>
          <w:rFonts w:ascii="Times New Roman;serif" w:hAnsi="Times New Roman;serif"/>
          <w:b w:val="false"/>
          <w:color w:val="000000"/>
          <w:sz w:val="20"/>
        </w:rPr>
        <w:t>the risks that are described from time to time in White Mountains’s filings with the Securities and Exchange Commission, including but not limited to White Mountains’s 2025 Annual Report on Form 10-K;</w:t>
      </w:r>
    </w:p>
    <w:p>
      <w:pPr>
        <w:pStyle w:val="TextBody"/>
        <w:bidi w:val="0"/>
        <w:spacing w:lineRule="auto" w:line="276" w:before="0" w:after="0"/>
        <w:ind w:left="0" w:right="0" w:hanging="180"/>
        <w:jc w:val="left"/>
        <w:rPr/>
      </w:pPr>
      <w:r>
        <w:rPr>
          <w:color w:val="000000"/>
        </w:rPr>
        <w:t>•</w:t>
      </w:r>
      <w:r>
        <w:rPr>
          <w:rFonts w:ascii="Times New Roman;serif" w:hAnsi="Times New Roman;serif"/>
          <w:b w:val="false"/>
          <w:color w:val="000000"/>
          <w:sz w:val="20"/>
        </w:rPr>
        <w:t>claims arising from catastrophic events, such as hurricanes, windstorms, earthquakes, floods, wildfires, tornadoes, tsunamis, severe weather, public health crises, terrorist attacks, war and war-like actions, explosions, infrastructure failures or cyber attacks;</w:t>
      </w:r>
    </w:p>
    <w:p>
      <w:pPr>
        <w:pStyle w:val="TextBody"/>
        <w:bidi w:val="0"/>
        <w:spacing w:lineRule="auto" w:line="268" w:before="0" w:after="0"/>
        <w:ind w:left="0" w:right="0" w:hanging="180"/>
        <w:jc w:val="left"/>
        <w:rPr/>
      </w:pPr>
      <w:r>
        <w:rPr>
          <w:color w:val="000000"/>
        </w:rPr>
        <w:t>•</w:t>
      </w:r>
      <w:r>
        <w:rPr>
          <w:rFonts w:ascii="Times New Roman;serif" w:hAnsi="Times New Roman;serif"/>
          <w:b w:val="false"/>
          <w:color w:val="000000"/>
          <w:sz w:val="20"/>
        </w:rPr>
        <w:t>recorded loss reserves subsequently proving to have been inadequate;</w:t>
      </w:r>
    </w:p>
    <w:p>
      <w:pPr>
        <w:pStyle w:val="TextBody"/>
        <w:bidi w:val="0"/>
        <w:spacing w:lineRule="auto" w:line="276" w:before="0" w:after="0"/>
        <w:ind w:left="0" w:right="0" w:hanging="180"/>
        <w:jc w:val="left"/>
        <w:rPr/>
      </w:pPr>
      <w:r>
        <w:rPr>
          <w:color w:val="000000"/>
        </w:rPr>
        <w:t>•</w:t>
      </w:r>
      <w:r>
        <w:rPr>
          <w:rFonts w:ascii="Times New Roman;serif" w:hAnsi="Times New Roman;serif"/>
          <w:b w:val="false"/>
          <w:color w:val="000000"/>
          <w:sz w:val="20"/>
        </w:rPr>
        <w:t>the market value of White Mountains’s investment in MediaAlpha;</w:t>
      </w:r>
    </w:p>
    <w:p>
      <w:pPr>
        <w:pStyle w:val="TextBody"/>
        <w:bidi w:val="0"/>
        <w:spacing w:lineRule="auto" w:line="276" w:before="0" w:after="0"/>
        <w:ind w:left="0" w:right="0" w:hanging="180"/>
        <w:jc w:val="left"/>
        <w:rPr/>
      </w:pPr>
      <w:r>
        <w:rPr>
          <w:color w:val="000000"/>
        </w:rPr>
        <w:t>•</w:t>
      </w:r>
      <w:r>
        <w:rPr>
          <w:rFonts w:ascii="Times New Roman;serif" w:hAnsi="Times New Roman;serif"/>
          <w:b w:val="false"/>
          <w:color w:val="000000"/>
          <w:sz w:val="20"/>
        </w:rPr>
        <w:t>business opportunities (or lack thereof) that may be presented to it and pursued;</w:t>
      </w:r>
    </w:p>
    <w:p>
      <w:pPr>
        <w:pStyle w:val="TextBody"/>
        <w:bidi w:val="0"/>
        <w:spacing w:lineRule="auto" w:line="276" w:before="0" w:after="0"/>
        <w:ind w:left="0" w:right="0" w:hanging="180"/>
        <w:jc w:val="left"/>
        <w:rPr/>
      </w:pPr>
      <w:r>
        <w:rPr>
          <w:color w:val="000000"/>
        </w:rPr>
        <w:t>•</w:t>
      </w:r>
      <w:r>
        <w:rPr>
          <w:rFonts w:ascii="Times New Roman;serif" w:hAnsi="Times New Roman;serif"/>
          <w:b w:val="false"/>
          <w:color w:val="000000"/>
          <w:sz w:val="20"/>
        </w:rPr>
        <w:t>actions taken by rating agencies, such as financial strength or credit ratings downgrades or placing ratings on negative watch;</w:t>
      </w:r>
    </w:p>
    <w:p>
      <w:pPr>
        <w:pStyle w:val="TextBody"/>
        <w:bidi w:val="0"/>
        <w:spacing w:lineRule="auto" w:line="276" w:before="0" w:after="0"/>
        <w:ind w:left="0" w:right="0" w:hanging="180"/>
        <w:jc w:val="left"/>
        <w:rPr/>
      </w:pPr>
      <w:r>
        <w:rPr>
          <w:color w:val="000000"/>
        </w:rPr>
        <w:t>•</w:t>
      </w:r>
      <w:r>
        <w:rPr>
          <w:rFonts w:ascii="Times New Roman;serif" w:hAnsi="Times New Roman;serif"/>
          <w:b w:val="false"/>
          <w:color w:val="000000"/>
          <w:sz w:val="20"/>
        </w:rPr>
        <w:t>the continued availability of capital and financing;</w:t>
      </w:r>
    </w:p>
    <w:p>
      <w:pPr>
        <w:pStyle w:val="TextBody"/>
        <w:bidi w:val="0"/>
        <w:spacing w:lineRule="auto" w:line="276" w:before="0" w:after="0"/>
        <w:ind w:left="0" w:right="0" w:hanging="180"/>
        <w:jc w:val="left"/>
        <w:rPr/>
      </w:pPr>
      <w:r>
        <w:rPr>
          <w:color w:val="000000"/>
        </w:rPr>
        <w:t>•</w:t>
      </w:r>
      <w:r>
        <w:rPr>
          <w:rFonts w:ascii="Times New Roman;serif" w:hAnsi="Times New Roman;serif"/>
          <w:b w:val="false"/>
          <w:color w:val="000000"/>
          <w:sz w:val="20"/>
        </w:rPr>
        <w:t>the continued availability of fronting and reinsurance capacity;</w:t>
      </w:r>
    </w:p>
    <w:p>
      <w:pPr>
        <w:pStyle w:val="TextBody"/>
        <w:bidi w:val="0"/>
        <w:spacing w:lineRule="auto" w:line="276" w:before="0" w:after="0"/>
        <w:ind w:left="0" w:right="0" w:hanging="180"/>
        <w:jc w:val="left"/>
        <w:rPr/>
      </w:pPr>
      <w:r>
        <w:rPr>
          <w:color w:val="000000"/>
        </w:rPr>
        <w:t>•</w:t>
      </w:r>
      <w:r>
        <w:rPr>
          <w:rFonts w:ascii="Times New Roman;serif" w:hAnsi="Times New Roman;serif"/>
          <w:b w:val="false"/>
          <w:color w:val="000000"/>
          <w:sz w:val="20"/>
        </w:rPr>
        <w:t xml:space="preserve">deterioration of general economic, market or business conditions, including due to war and war-like actions and outbreaks of contagious disease and corresponding mitigation efforts; </w:t>
      </w:r>
    </w:p>
    <w:p>
      <w:pPr>
        <w:pStyle w:val="TextBody"/>
        <w:bidi w:val="0"/>
        <w:spacing w:lineRule="auto" w:line="276" w:before="0" w:after="0"/>
        <w:ind w:left="0" w:right="0" w:hanging="180"/>
        <w:jc w:val="left"/>
        <w:rPr/>
      </w:pPr>
      <w:r>
        <w:rPr>
          <w:color w:val="000000"/>
        </w:rPr>
        <w:t>•</w:t>
      </w:r>
      <w:r>
        <w:rPr>
          <w:rFonts w:ascii="Times New Roman;serif" w:hAnsi="Times New Roman;serif"/>
          <w:b w:val="false"/>
          <w:color w:val="000000"/>
          <w:sz w:val="20"/>
        </w:rPr>
        <w:t>competitive forces, including the conduct of other insurers;</w:t>
      </w:r>
    </w:p>
    <w:p>
      <w:pPr>
        <w:pStyle w:val="TextBody"/>
        <w:bidi w:val="0"/>
        <w:spacing w:lineRule="auto" w:line="276" w:before="0" w:after="0"/>
        <w:ind w:left="0" w:right="0" w:hanging="180"/>
        <w:jc w:val="left"/>
        <w:rPr/>
      </w:pPr>
      <w:r>
        <w:rPr>
          <w:color w:val="000000"/>
        </w:rPr>
        <w:t>•</w:t>
      </w:r>
      <w:r>
        <w:rPr>
          <w:rFonts w:ascii="Times New Roman;serif" w:hAnsi="Times New Roman;serif"/>
          <w:b w:val="false"/>
          <w:color w:val="000000"/>
          <w:sz w:val="20"/>
        </w:rPr>
        <w:t>changes in domestic or foreign laws or regulations, or their interpretation, applicable to White Mountains, its competitors or its customers; and</w:t>
      </w:r>
    </w:p>
    <w:p>
      <w:pPr>
        <w:pStyle w:val="TextBody"/>
        <w:bidi w:val="0"/>
        <w:spacing w:lineRule="auto" w:line="276" w:before="0" w:after="0"/>
        <w:ind w:left="0" w:right="0" w:hanging="180"/>
        <w:jc w:val="left"/>
        <w:rPr/>
      </w:pPr>
      <w:r>
        <w:rPr>
          <w:color w:val="000000"/>
        </w:rPr>
        <w:t>•</w:t>
      </w:r>
      <w:r>
        <w:rPr>
          <w:rFonts w:ascii="Times New Roman;serif" w:hAnsi="Times New Roman;serif"/>
          <w:b w:val="false"/>
          <w:color w:val="000000"/>
          <w:sz w:val="20"/>
        </w:rPr>
        <w:t>other factors, most of which are beyond White Mountains’s control.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Consequently, all of the forward-looking statements made in this report are qualified by these cautionary statements, and there can be no assurance that the actual results or developments anticipated by White Mountains will be realized or, even if substantially realized, that they will have the expected consequences to, or effects on, White Mountains or its business or operations. White Mountains assumes no obligation to publicly update any such forward-looking statements, whether as a result of new information, future events or otherwise.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rFonts w:ascii="Times New Roman;serif" w:hAnsi="Times New Roman;serif"/>
          <w:b/>
          <w:color w:val="000000"/>
          <w:sz w:val="20"/>
        </w:rPr>
      </w:pPr>
      <w:r>
        <w:rPr>
          <w:rFonts w:ascii="Times New Roman;serif" w:hAnsi="Times New Roman;serif"/>
          <w:b/>
          <w:color w:val="000000"/>
          <w:sz w:val="20"/>
        </w:rPr>
        <w:t>Item 3.Quantitative and Qualitative Disclosures About Market Risk.</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Refer to White Mountains’s 2025 Annual Report on Form 10-K and in particular </w:t>
      </w:r>
      <w:r>
        <w:rPr>
          <w:rFonts w:ascii="Times New Roman;serif" w:hAnsi="Times New Roman;serif"/>
          <w:b/>
          <w:color w:val="000000"/>
          <w:sz w:val="20"/>
        </w:rPr>
        <w:t>Item 7A. - “Quantitative and Qualitative Disclosures About Market Risk.”</w:t>
      </w:r>
      <w:r>
        <w:rPr>
          <w:color w:val="000000"/>
        </w:rPr>
        <w:t xml:space="preserv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hanging="1080"/>
        <w:jc w:val="left"/>
        <w:rPr/>
      </w:pPr>
      <w:r>
        <w:rPr>
          <w:rFonts w:ascii="Times New Roman;serif" w:hAnsi="Times New Roman;serif"/>
          <w:b/>
          <w:color w:val="000000"/>
          <w:sz w:val="20"/>
        </w:rPr>
        <w:t>Item 4.Controls and Procedures</w:t>
      </w:r>
      <w:r>
        <w:rPr>
          <w:rFonts w:ascii="Times New Roman;serif" w:hAnsi="Times New Roman;serif"/>
          <w:b w:val="false"/>
          <w:color w:val="000000"/>
          <w:sz w:val="20"/>
        </w:rPr>
        <w: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Principal Executive Officer (“PEO”) and the Principal Financial Officer (“PFO”) of White Mountains have evaluated the effectiveness of its disclosure controls and procedures (as defined in Rule 13a-15(e) of the Exchange Act) as of June 30, 2026. Based on that evaluation, the PEO and PFO have concluded that White Mountains’s disclosure controls and procedures are adequate and effective.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were no changes to White Mountains’s internal control over financial reporting that occurred during the second quarter of 2026 that have materially affected, or are reasonably likely to materially affect, White Mountains’s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rFonts w:ascii="Times New Roman;serif" w:hAnsi="Times New Roman;serif"/>
          <w:b/>
          <w:color w:val="000000"/>
          <w:sz w:val="20"/>
        </w:rPr>
      </w:pPr>
      <w:r>
        <w:rPr>
          <w:rFonts w:ascii="Times New Roman;serif" w:hAnsi="Times New Roman;serif"/>
          <w:b/>
          <w:color w:val="000000"/>
          <w:sz w:val="20"/>
        </w:rPr>
        <w:t>Part II.OTHER INFORMATION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1.</w:t>
      </w:r>
      <w:r>
        <w:rPr>
          <w:rFonts w:ascii="Times New Roman;serif" w:hAnsi="Times New Roman;serif"/>
          <w:b/>
          <w:color w:val="000000"/>
          <w:sz w:val="20"/>
        </w:rPr>
        <w:t>Legal Proceedings</w:t>
      </w:r>
      <w:r>
        <w:rPr>
          <w:rFonts w:ascii="Times New Roman;serif" w:hAnsi="Times New Roman;serif"/>
          <w:b w:val="false"/>
          <w:color w:val="000000"/>
          <w:sz w:val="20"/>
        </w:rPr>
        <w: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There have been no material changes to any of the risk factors previously disclosed in the Registrant’s 2025 Annual Report on Form 10-K. </w:t>
      </w:r>
    </w:p>
    <w:p>
      <w:pPr>
        <w:pStyle w:val="TextBody"/>
        <w:bidi w:val="0"/>
        <w:spacing w:before="0" w:after="0"/>
        <w:jc w:val="left"/>
        <w:rPr/>
      </w:pPr>
      <w:r>
        <w:rPr/>
      </w:r>
    </w:p>
    <w:p>
      <w:pPr>
        <w:pStyle w:val="TextBody"/>
        <w:bidi w:val="0"/>
        <w:spacing w:lineRule="auto" w:line="288" w:before="0" w:after="0"/>
        <w:ind w:left="0" w:right="0" w:hanging="1080"/>
        <w:jc w:val="left"/>
        <w:rPr>
          <w:rFonts w:ascii="Times New Roman;serif" w:hAnsi="Times New Roman;serif"/>
          <w:b/>
          <w:color w:val="000000"/>
          <w:sz w:val="20"/>
        </w:rPr>
      </w:pPr>
      <w:r>
        <w:rPr>
          <w:rFonts w:ascii="Times New Roman;serif" w:hAnsi="Times New Roman;serif"/>
          <w:b/>
          <w:color w:val="000000"/>
          <w:sz w:val="20"/>
        </w:rPr>
        <w:t xml:space="preserve">Item 2.Issuer Purchases of Equity Securities. </w:t>
      </w:r>
    </w:p>
    <w:p>
      <w:pPr>
        <w:pStyle w:val="TextBody"/>
        <w:bidi w:val="0"/>
        <w:spacing w:before="0" w:after="0"/>
        <w:jc w:val="left"/>
        <w:rPr/>
      </w:pPr>
      <w:r>
        <w:rPr/>
      </w:r>
    </w:p>
    <w:tbl>
      <w:tblPr>
        <w:tblW w:w="9609" w:type="dxa"/>
        <w:jc w:val="center"/>
        <w:tblInd w:w="0" w:type="dxa"/>
        <w:tblLayout w:type="fixed"/>
        <w:tblCellMar>
          <w:top w:w="28" w:type="dxa"/>
          <w:left w:w="28" w:type="dxa"/>
          <w:bottom w:w="28" w:type="dxa"/>
          <w:right w:w="28" w:type="dxa"/>
        </w:tblCellMar>
      </w:tblPr>
      <w:tblGrid>
        <w:gridCol w:w="732"/>
        <w:gridCol w:w="643"/>
        <w:gridCol w:w="649"/>
        <w:gridCol w:w="109"/>
        <w:gridCol w:w="109"/>
        <w:gridCol w:w="109"/>
        <w:gridCol w:w="460"/>
        <w:gridCol w:w="460"/>
        <w:gridCol w:w="461"/>
        <w:gridCol w:w="109"/>
        <w:gridCol w:w="109"/>
        <w:gridCol w:w="109"/>
        <w:gridCol w:w="211"/>
        <w:gridCol w:w="886"/>
        <w:gridCol w:w="109"/>
        <w:gridCol w:w="109"/>
        <w:gridCol w:w="109"/>
        <w:gridCol w:w="109"/>
        <w:gridCol w:w="714"/>
        <w:gridCol w:w="714"/>
        <w:gridCol w:w="716"/>
        <w:gridCol w:w="109"/>
        <w:gridCol w:w="109"/>
        <w:gridCol w:w="109"/>
        <w:gridCol w:w="452"/>
        <w:gridCol w:w="452"/>
        <w:gridCol w:w="642"/>
      </w:tblGrid>
      <w:tr>
        <w:trPr/>
        <w:tc>
          <w:tcPr>
            <w:tcW w:w="732"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w:t>
              <w:br/>
              <w:t>Shares Purchased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w:t>
              <w:br/>
              <w:t>Paid 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Number of Shares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Purchased as Part of </w:t>
            </w:r>
          </w:p>
          <w:p>
            <w:pPr>
              <w:pStyle w:val="TableContents"/>
              <w:bidi w:val="0"/>
              <w:spacing w:lineRule="auto" w:line="240" w:before="0" w:after="0"/>
              <w:jc w:val="center"/>
              <w:rPr/>
            </w:pPr>
            <w:r>
              <w:rPr>
                <w:rFonts w:ascii="Times New Roman;serif" w:hAnsi="Times New Roman;serif"/>
                <w:b/>
                <w:color w:val="000000"/>
                <w:sz w:val="16"/>
              </w:rPr>
              <w:t>Publicly Announced Plans </w:t>
            </w:r>
            <w:r>
              <w:rPr>
                <w:rFonts w:ascii="Times New Roman;serif" w:hAnsi="Times New Roman;serif"/>
                <w:b/>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Maximum Number</w:t>
              <w:br/>
              <w:t>of Shares that May</w:t>
              <w:br/>
              <w:t>Yet Be Purchased</w:t>
              <w:br/>
              <w:t>Under the Plans</w:t>
            </w:r>
          </w:p>
        </w:tc>
      </w:tr>
      <w:tr>
        <w:trPr/>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 April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261,201 </w:t>
            </w:r>
          </w:p>
        </w:tc>
        <w:tc>
          <w:tcPr>
            <w:tcW w:w="6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 May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56,378 </w:t>
            </w:r>
          </w:p>
        </w:tc>
        <w:tc>
          <w:tcPr>
            <w:tcW w:w="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2,119.96 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56,378 </w:t>
            </w:r>
          </w:p>
        </w:tc>
        <w:tc>
          <w:tcPr>
            <w:tcW w:w="7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204,823 </w:t>
            </w:r>
          </w:p>
        </w:tc>
        <w:tc>
          <w:tcPr>
            <w:tcW w:w="6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34,816 </w:t>
            </w:r>
          </w:p>
        </w:tc>
        <w:tc>
          <w:tcPr>
            <w:tcW w:w="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34,816 </w:t>
            </w:r>
          </w:p>
        </w:tc>
        <w:tc>
          <w:tcPr>
            <w:tcW w:w="7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170,007 </w:t>
            </w:r>
          </w:p>
        </w:tc>
        <w:tc>
          <w:tcPr>
            <w:tcW w:w="6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4"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91,194</w:t>
            </w:r>
            <w:r>
              <w:rPr>
                <w:color w:val="000000"/>
              </w:rPr>
              <w:t> </w:t>
            </w:r>
          </w:p>
        </w:tc>
        <w:tc>
          <w:tcPr>
            <w:tcW w:w="4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6" w:type="dxa"/>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2,092.72</w:t>
            </w:r>
            <w:r>
              <w:rPr>
                <w:color w:val="000000"/>
              </w:rPr>
              <w:t> </w:t>
            </w:r>
          </w:p>
        </w:tc>
        <w:tc>
          <w:tcPr>
            <w:tcW w:w="109"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91,194</w:t>
            </w:r>
            <w:r>
              <w:rPr>
                <w:color w:val="000000"/>
              </w:rPr>
              <w:t> </w:t>
            </w:r>
          </w:p>
        </w:tc>
        <w:tc>
          <w:tcPr>
            <w:tcW w:w="7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170,007</w:t>
            </w:r>
            <w:r>
              <w:rPr>
                <w:color w:val="000000"/>
              </w:rPr>
              <w:t> </w:t>
            </w:r>
          </w:p>
        </w:tc>
        <w:tc>
          <w:tcPr>
            <w:tcW w:w="642" w:type="dxa"/>
            <w:tcBorders>
              <w:bottom w:val="doub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18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 xml:space="preserve">White Mountains’s Board of Directors has authorized the Company to repurchase its common shares, from time to time, subject to market conditions. The repurchase authorizations do not have a stated expiration date.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3. Defaults Upon Senior Securities</w:t>
      </w:r>
      <w:r>
        <w:rPr>
          <w:rFonts w:ascii="Times New Roman;serif" w:hAnsi="Times New Roman;serif"/>
          <w:b w:val="false"/>
          <w:color w:val="000000"/>
          <w:sz w:val="20"/>
        </w:rPr>
        <w: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0"/>
        <w:ind w:left="0" w:right="0" w:firstLine="1080"/>
        <w:jc w:val="left"/>
        <w:rPr>
          <w:color w:val="000000"/>
        </w:rPr>
      </w:pPr>
      <w:r>
        <w:rPr>
          <w:color w:val="000000"/>
        </w:rPr>
        <w:t> </w:t>
      </w:r>
    </w:p>
    <w:p>
      <w:pPr>
        <w:pStyle w:val="TextBody"/>
        <w:bidi w:val="0"/>
        <w:spacing w:lineRule="auto" w:line="288" w:before="0" w:after="0"/>
        <w:ind w:left="0" w:right="0" w:hanging="1080"/>
        <w:jc w:val="left"/>
        <w:rPr>
          <w:rFonts w:ascii="Times New Roman;serif" w:hAnsi="Times New Roman;serif"/>
          <w:b/>
          <w:color w:val="000000"/>
          <w:sz w:val="20"/>
        </w:rPr>
      </w:pPr>
      <w:r>
        <w:rPr>
          <w:rFonts w:ascii="Times New Roman;serif" w:hAnsi="Times New Roman;serif"/>
          <w:b/>
          <w:color w:val="000000"/>
          <w:sz w:val="20"/>
        </w:rPr>
        <w:t>Item 4.Mine Safety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1080"/>
        <w:jc w:val="left"/>
        <w:rPr/>
      </w:pPr>
      <w:r>
        <w:rPr>
          <w:rFonts w:ascii="Times New Roman;serif" w:hAnsi="Times New Roman;serif"/>
          <w:b/>
          <w:color w:val="000000"/>
          <w:sz w:val="20"/>
        </w:rPr>
        <w:t>Item 5.Other Information</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Insider Trading Policy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policies and procedures governing the purchase, sale and/or other dispositions of our securities by directors, officers, employees or the Company itself that we believe are reasonably designed to promote compliance with insider trading laws, rules and regulations and the listing standards applicable to us. A copy of our Insider Trading Policy is filed as Exhibit 19 to our 2025 Annual Report on Form 10-K.</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No trading plans were adopted or terminated during the second quarter of 2026 by a director or officer of the Company that is intended to satisfy the affirmative defense conditions of Securities Exchange Act Rule 10b5-1(c) or a non-Rule 10b5-1(c) trading agreement. </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080"/>
        <w:jc w:val="left"/>
        <w:rPr/>
      </w:pPr>
      <w:r>
        <w:rPr>
          <w:rFonts w:ascii="Times New Roman;serif" w:hAnsi="Times New Roman;serif"/>
          <w:b/>
          <w:color w:val="000000"/>
          <w:sz w:val="20"/>
        </w:rPr>
        <w:t>Item 6.Exhibits</w:t>
      </w:r>
      <w:r>
        <w:rPr>
          <w:rFonts w:ascii="Times New Roman;serif" w:hAnsi="Times New Roman;serif"/>
          <w:b w:val="false"/>
          <w:color w:val="000000"/>
          <w:sz w:val="20"/>
        </w:rPr>
        <w:t>.</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333"/>
        <w:gridCol w:w="287"/>
        <w:gridCol w:w="289"/>
        <w:gridCol w:w="109"/>
        <w:gridCol w:w="109"/>
        <w:gridCol w:w="109"/>
        <w:gridCol w:w="203"/>
        <w:gridCol w:w="203"/>
        <w:gridCol w:w="109"/>
        <w:gridCol w:w="109"/>
        <w:gridCol w:w="109"/>
        <w:gridCol w:w="109"/>
        <w:gridCol w:w="2260"/>
        <w:gridCol w:w="2144"/>
        <w:gridCol w:w="30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c>
          <w:tcPr>
            <w:tcW w:w="30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28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00"/>
                  <w:sz w:val="20"/>
                </w:rPr>
                <w:t>Note Purchase Agreement, dated as of May 14, 2026, by and among HGG and the purchasers party thereto (incorporated by reference herein to Exhibit 10.1 of the Company’s Current Report on Form 8-K dated May 14, 2026)</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wtmq22026ex311.htm">
              <w:r>
                <w:rPr>
                  <w:rStyle w:val="InternetLink"/>
                  <w:rFonts w:ascii="Times New Roman;serif" w:hAnsi="Times New Roman;serif"/>
                  <w:b w:val="false"/>
                  <w:color w:val="000080"/>
                  <w:sz w:val="20"/>
                </w:rPr>
                <w:t>Principal Executive Officer Certification Pursuant to Rule 13a-14 (a) of the Securities Exchange Act of 1934, as Amended. (*</w:t>
              </w:r>
            </w:hyperlink>
            <w:r>
              <w:rPr>
                <w:rFonts w:ascii="Times New Roman;serif" w:hAnsi="Times New Roman;serif"/>
                <w:b w:val="false"/>
                <w:color w:val="000000"/>
                <w:sz w:val="2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wtmq22026ex312.htm">
              <w:r>
                <w:rPr>
                  <w:rStyle w:val="InternetLink"/>
                  <w:rFonts w:ascii="Times New Roman;serif" w:hAnsi="Times New Roman;serif"/>
                  <w:b w:val="false"/>
                  <w:color w:val="000080"/>
                  <w:sz w:val="20"/>
                </w:rPr>
                <w:t>Principal Financial Officer Certification Pursuant to Rule 13a-14 (a) of the Securities Exchange Act of 1934, as Amended. (*</w:t>
              </w:r>
            </w:hyperlink>
            <w:r>
              <w:rPr>
                <w:rFonts w:ascii="Times New Roman;serif" w:hAnsi="Times New Roman;serif"/>
                <w:b w:val="false"/>
                <w:color w:val="000000"/>
                <w:sz w:val="20"/>
              </w:rPr>
              <w: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wtmq22026ex321.htm">
              <w:r>
                <w:rPr>
                  <w:rStyle w:val="InternetLink"/>
                  <w:rFonts w:ascii="Times New Roman;serif" w:hAnsi="Times New Roman;serif"/>
                  <w:b w:val="false"/>
                  <w:color w:val="000000"/>
                  <w:sz w:val="20"/>
                </w:rPr>
                <w:t>Principal Executive Officer Certification Pursuant to 18 U.S.C. Section 1350, as Adopted Pursuant to Section 906 of the Sarbanes-Oxley Act of 2002. (*)</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wtmq22026ex322.htm">
              <w:r>
                <w:rPr>
                  <w:rStyle w:val="InternetLink"/>
                  <w:rFonts w:ascii="Times New Roman;serif" w:hAnsi="Times New Roman;serif"/>
                  <w:b w:val="false"/>
                  <w:color w:val="000000"/>
                  <w:sz w:val="20"/>
                </w:rPr>
                <w:t>Principal Financial Officer Certification Pursuant to 18 U.S.C. Section 1350, as Adopted Pursuant to Section 906 of the Sarbanes-Oxley Act of 2002. (*)</w:t>
              </w:r>
            </w:hyperlink>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tbl>
      <w:tblPr>
        <w:tblW w:w="1770" w:type="dxa"/>
        <w:jc w:val="center"/>
        <w:tblInd w:w="0" w:type="dxa"/>
        <w:tblLayout w:type="fixed"/>
        <w:tblCellMar>
          <w:top w:w="28" w:type="dxa"/>
          <w:left w:w="28" w:type="dxa"/>
          <w:bottom w:w="28" w:type="dxa"/>
          <w:right w:w="28" w:type="dxa"/>
        </w:tblCellMar>
      </w:tblPr>
      <w:tblGrid>
        <w:gridCol w:w="125"/>
        <w:gridCol w:w="110"/>
        <w:gridCol w:w="110"/>
        <w:gridCol w:w="417"/>
        <w:gridCol w:w="417"/>
        <w:gridCol w:w="591"/>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herein</w:t>
            </w:r>
          </w:p>
        </w:tc>
      </w:tr>
      <w:tr>
        <w:trPr/>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8369" w:type="dxa"/>
        <w:jc w:val="center"/>
        <w:tblInd w:w="0" w:type="dxa"/>
        <w:tblLayout w:type="fixed"/>
        <w:tblCellMar>
          <w:top w:w="28" w:type="dxa"/>
          <w:left w:w="28" w:type="dxa"/>
          <w:bottom w:w="28" w:type="dxa"/>
          <w:right w:w="28" w:type="dxa"/>
        </w:tblCellMar>
      </w:tblPr>
      <w:tblGrid>
        <w:gridCol w:w="200"/>
        <w:gridCol w:w="177"/>
        <w:gridCol w:w="178"/>
        <w:gridCol w:w="449"/>
        <w:gridCol w:w="449"/>
        <w:gridCol w:w="451"/>
        <w:gridCol w:w="109"/>
        <w:gridCol w:w="109"/>
        <w:gridCol w:w="109"/>
        <w:gridCol w:w="666"/>
        <w:gridCol w:w="666"/>
        <w:gridCol w:w="666"/>
        <w:gridCol w:w="1205"/>
        <w:gridCol w:w="1205"/>
        <w:gridCol w:w="173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WHITE MOUNTAINS INSURANCE GROUP, LTD.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 xml:space="preserve">By: /s/ </w:t>
            </w:r>
            <w:r>
              <w:rPr>
                <w:rFonts w:ascii="Times New Roman;serif" w:hAnsi="Times New Roman;serif"/>
                <w:b w:val="false"/>
                <w:color w:val="000000"/>
                <w:sz w:val="22"/>
              </w:rPr>
              <w:t>Michaela J. Hildreth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Michaela J. Hildreth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Managing Director and Chief Accounting Officer</w:t>
            </w:r>
          </w:p>
        </w:tc>
      </w:tr>
    </w:tbl>
    <w:p>
      <w:pPr>
        <w:pStyle w:val="TextBody"/>
        <w:bidi w:val="0"/>
        <w:spacing w:before="60" w:after="283"/>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PRINCIPAL EXECUTIVE OFFICER CERTIFICATION PURSUANT TO RULE 13a-14(a)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Liam P. Caffrey, Chief Executive Officer of White Mountains Insurance Group, Ltd., certify that: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for the quarter ending June 30, 2026 of White Mountains Insurance Group, Ltd.;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pStyle w:val="TextBody"/>
        <w:bidi w:val="0"/>
        <w:spacing w:before="0" w:after="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August 6, 2026 </w:t>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By: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Liam P. Caffrey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C-1</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PRINCIPAL FINANCIAL OFFICER CERTIFICATION PURSUANT TO RULE 13a-14(a)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Michael A. Papamichael, Managing Director and Chief Financial Officer of White Mountains Insurance Group, Ltd., certify that: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for the quarter ending June 30, 2026 of White Mountains Insurance Group, Ltd.;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pStyle w:val="TextBody"/>
        <w:bidi w:val="0"/>
        <w:spacing w:before="0" w:after="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630"/>
        <w:jc w:val="left"/>
        <w:rPr/>
      </w:pPr>
      <w:r>
        <w:rPr/>
      </w:r>
    </w:p>
    <w:p>
      <w:pPr>
        <w:pStyle w:val="TextBody"/>
        <w:bidi w:val="0"/>
        <w:spacing w:lineRule="auto" w:line="288" w:before="0" w:after="0"/>
        <w:ind w:left="0" w:right="0" w:hanging="63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August 6, 2026</w:t>
      </w:r>
    </w:p>
    <w:p>
      <w:pPr>
        <w:pStyle w:val="TextBody"/>
        <w:bidi w:val="0"/>
        <w:spacing w:before="0" w:after="0"/>
        <w:jc w:val="left"/>
        <w:rPr/>
      </w:pPr>
      <w:r>
        <w:rPr/>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By: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/s/ Michael A. Papamichael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Managing Director and Chief Financial Officer</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C- 2</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PRINCIPAL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White Mountains Insurance Group, Ltd. (the “Company”), for the quarter ending June 30, 2026 as filed with the Securities and Exchange Commission on the date hereof (the “Report”), I, Liam P. Caffrey, Chief Executive Officer of the Company, certify, pursuant to 18 U.S.C. §1350, as adopted pursuant to §906 of the Sarbanes-Oxley Act of 2002, that to my knowledge:</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hanging="810"/>
        <w:jc w:val="left"/>
        <w:rPr/>
      </w:pPr>
      <w:r>
        <w:rPr>
          <w:color w:val="000000"/>
        </w:rPr>
        <w:t>•</w:t>
      </w:r>
      <w:r>
        <w:rPr>
          <w:rFonts w:ascii="Times New Roman;serif" w:hAnsi="Times New Roman;serif"/>
          <w:b w:val="false"/>
          <w:color w:val="000000"/>
          <w:sz w:val="20"/>
        </w:rPr>
        <w:t>The Report fully complies with the requirements of Section 13(a) or 15(d) of the Securities Exchange Act of 1934; and,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hanging="810"/>
        <w:jc w:val="left"/>
        <w:rPr/>
      </w:pPr>
      <w:r>
        <w:rPr>
          <w:color w:val="000000"/>
        </w:rPr>
        <w:t>•</w:t>
      </w:r>
      <w:r>
        <w:rPr>
          <w:rFonts w:ascii="Times New Roman;serif" w:hAnsi="Times New Roman;serif"/>
          <w:b w:val="false"/>
          <w:color w:val="000000"/>
          <w:sz w:val="20"/>
        </w:rPr>
        <w:t>The information contained in the Report fairly presents, in all material respects, the financial condition and results of operations of the Company as of and for the periods presented in the Report.</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 </w:t>
      </w:r>
    </w:p>
    <w:tbl>
      <w:tblPr>
        <w:tblW w:w="2817" w:type="dxa"/>
        <w:jc w:val="left"/>
        <w:tblInd w:w="0" w:type="dxa"/>
        <w:tblLayout w:type="fixed"/>
        <w:tblCellMar>
          <w:top w:w="28" w:type="dxa"/>
          <w:left w:w="28" w:type="dxa"/>
          <w:bottom w:w="28" w:type="dxa"/>
          <w:right w:w="28" w:type="dxa"/>
        </w:tblCellMar>
      </w:tblPr>
      <w:tblGrid>
        <w:gridCol w:w="885"/>
        <w:gridCol w:w="776"/>
        <w:gridCol w:w="784"/>
        <w:gridCol w:w="109"/>
        <w:gridCol w:w="109"/>
        <w:gridCol w:w="154"/>
      </w:tblGrid>
      <w:tr>
        <w:trPr/>
        <w:tc>
          <w:tcPr>
            <w:tcW w:w="885"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Liam P. Caffrey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b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C-3</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PRINCIPAL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White Mountains Insurance Group, Ltd. (the “Company”), for the quarter ending June 30, 2026 as filed with the Securities and Exchange Commission on the date hereof (the “Report”), I, Michael A. Papamichael, Managing Director and Chief Financial Officer of the Company, certify, pursuant to 18 U.S.C. §1350, as adopted pursuant to §906 of the Sarbanes-Oxley Act of 2002, that to my knowledge:</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The Report fully complies with the requirements of Section 13(a) or 15(d) of the Securities Exchange Act of 1934; and,</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The information contained in the Report fairly presents, in all material respects, the financial condition and results of operations of the Company as of and for the periods presented in the Report.</w:t>
      </w:r>
    </w:p>
    <w:p>
      <w:pPr>
        <w:pStyle w:val="TextBody"/>
        <w:bidi w:val="0"/>
        <w:spacing w:before="0" w:after="0"/>
        <w:ind w:left="0" w:right="0" w:hanging="720"/>
        <w:jc w:val="center"/>
        <w:rPr/>
      </w:pPr>
      <w:r>
        <w:rPr/>
      </w:r>
    </w:p>
    <w:p>
      <w:pPr>
        <w:pStyle w:val="TextBody"/>
        <w:bidi w:val="0"/>
        <w:spacing w:before="0" w:after="0"/>
        <w:jc w:val="left"/>
        <w:rPr/>
      </w:pPr>
      <w:r>
        <w:rPr/>
      </w:r>
    </w:p>
    <w:tbl>
      <w:tblPr>
        <w:tblW w:w="4287" w:type="dxa"/>
        <w:jc w:val="left"/>
        <w:tblInd w:w="0" w:type="dxa"/>
        <w:tblLayout w:type="fixed"/>
        <w:tblCellMar>
          <w:top w:w="28" w:type="dxa"/>
          <w:left w:w="28" w:type="dxa"/>
          <w:bottom w:w="28" w:type="dxa"/>
          <w:right w:w="28" w:type="dxa"/>
        </w:tblCellMar>
      </w:tblPr>
      <w:tblGrid>
        <w:gridCol w:w="1419"/>
        <w:gridCol w:w="1246"/>
        <w:gridCol w:w="1250"/>
        <w:gridCol w:w="109"/>
        <w:gridCol w:w="109"/>
        <w:gridCol w:w="154"/>
      </w:tblGrid>
      <w:tr>
        <w:trPr/>
        <w:tc>
          <w:tcPr>
            <w:tcW w:w="141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A. Papamichael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Managing Director and Chief Financial Officer</w:t>
              <w:b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Narrow">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776867/000162828026035349/wtm8-k2026exhibit10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49368</Words>
  <Characters>268789</Characters>
  <CharactersWithSpaces>315299</CharactersWithSpaces>
  <Paragraphs>9074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