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653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65340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DAVIS MORGAN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60"/>
        <w:spacing w:after="0" w:line="286" w:lineRule="auto"/>
        <w:rPr>
          <w:sz w:val="20"/>
          <w:szCs w:val="20"/>
          <w:color w:val="auto"/>
        </w:rPr>
      </w:pPr>
      <w:r>
        <w:rPr>
          <w:rFonts w:ascii="Arial" w:cs="Arial" w:eastAsia="Arial" w:hAnsi="Arial"/>
          <w:sz w:val="17"/>
          <w:szCs w:val="17"/>
          <w:color w:val="0000FF"/>
        </w:rPr>
        <w:t>C/O WHITE MOUNTAINS INSURANCE GROUP, LTD</w:t>
      </w:r>
    </w:p>
    <w:p>
      <w:pPr>
        <w:spacing w:after="0" w:line="1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80 SOUTH MAIN STREET</w:t>
      </w:r>
    </w:p>
    <w:p>
      <w:pPr>
        <w:spacing w:after="0" w:line="302"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HANOVER</w:t>
            </w:r>
          </w:p>
        </w:tc>
        <w:tc>
          <w:tcPr>
            <w:tcW w:w="1040" w:type="dxa"/>
            <w:vAlign w:val="bottom"/>
          </w:tcPr>
          <w:p>
            <w:pPr>
              <w:ind w:left="220"/>
              <w:spacing w:after="0"/>
              <w:rPr>
                <w:sz w:val="20"/>
                <w:szCs w:val="20"/>
                <w:color w:val="auto"/>
              </w:rPr>
            </w:pPr>
            <w:r>
              <w:rPr>
                <w:rFonts w:ascii="Arial" w:cs="Arial" w:eastAsia="Arial" w:hAnsi="Arial"/>
                <w:sz w:val="17"/>
                <w:szCs w:val="17"/>
                <w:color w:val="0000FF"/>
              </w:rPr>
              <w:t>NH</w:t>
            </w:r>
          </w:p>
        </w:tc>
        <w:tc>
          <w:tcPr>
            <w:tcW w:w="168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980" w:type="dxa"/>
            <w:vAlign w:val="bottom"/>
            <w:gridSpan w:val="4"/>
          </w:tcPr>
          <w:p>
            <w:pPr>
              <w:ind w:left="60"/>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0"/>
        </w:trPr>
        <w:tc>
          <w:tcPr>
            <w:tcW w:w="3980" w:type="dxa"/>
            <w:vAlign w:val="bottom"/>
            <w:gridSpan w:val="4"/>
            <w:vMerge w:val="restart"/>
          </w:tcPr>
          <w:p>
            <w:pPr>
              <w:ind w:left="60"/>
              <w:spacing w:after="0" w:line="21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980" w:type="dxa"/>
            <w:vAlign w:val="bottom"/>
            <w:gridSpan w:val="4"/>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1160" w:type="dxa"/>
            <w:vAlign w:val="bottom"/>
            <w:tcBorders>
              <w:top w:val="single" w:sz="8" w:color="0000EE"/>
            </w:tcBorders>
          </w:tcPr>
          <w:p>
            <w:pPr>
              <w:spacing w:after="0"/>
              <w:rPr>
                <w:sz w:val="12"/>
                <w:szCs w:val="12"/>
                <w:color w:val="auto"/>
              </w:rPr>
            </w:pPr>
          </w:p>
        </w:tc>
        <w:tc>
          <w:tcPr>
            <w:tcW w:w="2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7"/>
        </w:trPr>
        <w:tc>
          <w:tcPr>
            <w:tcW w:w="6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210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50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3980" w:type="dxa"/>
            <w:vAlign w:val="bottom"/>
            <w:tcBorders>
              <w:top w:val="single" w:sz="8" w:color="2C2C2C"/>
            </w:tcBorders>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5"/>
                <w:szCs w:val="15"/>
                <w:color w:val="auto"/>
              </w:rPr>
            </w:pPr>
          </w:p>
        </w:tc>
        <w:tc>
          <w:tcPr>
            <w:tcW w:w="2920" w:type="dxa"/>
            <w:vAlign w:val="bottom"/>
            <w:gridSpan w:val="2"/>
          </w:tcPr>
          <w:p>
            <w:pPr>
              <w:ind w:left="120"/>
              <w:spacing w:after="0" w:line="183" w:lineRule="exact"/>
              <w:rPr>
                <w:sz w:val="20"/>
                <w:szCs w:val="20"/>
                <w:color w:val="auto"/>
              </w:rPr>
            </w:pPr>
            <w:r>
              <w:rPr>
                <w:rFonts w:ascii="Arial" w:cs="Arial" w:eastAsia="Arial" w:hAnsi="Arial"/>
                <w:sz w:val="17"/>
                <w:szCs w:val="17"/>
                <w:color w:val="0000FF"/>
              </w:rPr>
              <w:t>President, American Centennial</w:t>
            </w:r>
          </w:p>
        </w:tc>
        <w:tc>
          <w:tcPr>
            <w:tcW w:w="0" w:type="dxa"/>
            <w:vAlign w:val="bottom"/>
          </w:tcPr>
          <w:p>
            <w:pPr>
              <w:spacing w:after="0"/>
              <w:rPr>
                <w:sz w:val="1"/>
                <w:szCs w:val="1"/>
                <w:color w:val="auto"/>
              </w:rPr>
            </w:pPr>
          </w:p>
        </w:tc>
      </w:tr>
      <w:tr>
        <w:trPr>
          <w:trHeight w:val="217"/>
        </w:trPr>
        <w:tc>
          <w:tcPr>
            <w:tcW w:w="1220" w:type="dxa"/>
            <w:vAlign w:val="bottom"/>
            <w:gridSpan w:val="2"/>
          </w:tcPr>
          <w:p>
            <w:pPr>
              <w:ind w:left="60"/>
              <w:spacing w:after="0"/>
              <w:rPr>
                <w:sz w:val="20"/>
                <w:szCs w:val="20"/>
                <w:color w:val="auto"/>
              </w:rPr>
            </w:pPr>
            <w:r>
              <w:rPr>
                <w:rFonts w:ascii="Arial" w:cs="Arial" w:eastAsia="Arial" w:hAnsi="Arial"/>
                <w:sz w:val="17"/>
                <w:szCs w:val="17"/>
                <w:color w:val="0000FF"/>
              </w:rPr>
              <w:t>12/27/2006</w:t>
            </w:r>
          </w:p>
        </w:tc>
        <w:tc>
          <w:tcPr>
            <w:tcW w:w="2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60" w:type="dxa"/>
            <w:vAlign w:val="bottom"/>
            <w:tcBorders>
              <w:bottom w:val="single" w:sz="8" w:color="2C2C2C"/>
            </w:tcBorders>
          </w:tcPr>
          <w:p>
            <w:pPr>
              <w:spacing w:after="0"/>
              <w:rPr>
                <w:sz w:val="21"/>
                <w:szCs w:val="21"/>
                <w:color w:val="auto"/>
              </w:rPr>
            </w:pPr>
          </w:p>
        </w:tc>
        <w:tc>
          <w:tcPr>
            <w:tcW w:w="1160" w:type="dxa"/>
            <w:vAlign w:val="bottom"/>
            <w:tcBorders>
              <w:bottom w:val="single" w:sz="8" w:color="2C2C2C"/>
            </w:tcBorders>
          </w:tcPr>
          <w:p>
            <w:pPr>
              <w:spacing w:after="0"/>
              <w:rPr>
                <w:sz w:val="21"/>
                <w:szCs w:val="21"/>
                <w:color w:val="auto"/>
              </w:rPr>
            </w:pPr>
          </w:p>
        </w:tc>
        <w:tc>
          <w:tcPr>
            <w:tcW w:w="210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3420" w:type="dxa"/>
            <w:vAlign w:val="bottom"/>
            <w:tcBorders>
              <w:bottom w:val="single" w:sz="8" w:color="2C2C2C"/>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27"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54" w:lineRule="exact"/>
        <w:rPr>
          <w:sz w:val="20"/>
          <w:szCs w:val="20"/>
          <w:color w:val="auto"/>
        </w:rPr>
      </w:pPr>
    </w:p>
    <w:p>
      <w:pPr>
        <w:sectPr>
          <w:pgSz w:w="11900" w:h="16838" w:orient="portrait"/>
          <w:cols w:equalWidth="0" w:num="2">
            <w:col w:w="3900" w:space="100"/>
            <w:col w:w="752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80" w:type="dxa"/>
            <w:vAlign w:val="bottom"/>
          </w:tcPr>
          <w:p>
            <w:pPr>
              <w:spacing w:after="0"/>
              <w:rPr>
                <w:sz w:val="13"/>
                <w:szCs w:val="13"/>
                <w:color w:val="auto"/>
              </w:rPr>
            </w:pPr>
          </w:p>
        </w:tc>
        <w:tc>
          <w:tcPr>
            <w:tcW w:w="170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30"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00" w:type="dxa"/>
            <w:vAlign w:val="bottom"/>
            <w:gridSpan w:val="2"/>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tcPr>
          <w:p>
            <w:pPr>
              <w:jc w:val="right"/>
              <w:ind w:right="360"/>
              <w:spacing w:after="0"/>
              <w:rPr>
                <w:sz w:val="20"/>
                <w:szCs w:val="20"/>
                <w:color w:val="auto"/>
              </w:rPr>
            </w:pPr>
            <w:r>
              <w:rPr>
                <w:rFonts w:ascii="Arial" w:cs="Arial" w:eastAsia="Arial" w:hAnsi="Arial"/>
                <w:sz w:val="17"/>
                <w:szCs w:val="17"/>
                <w:color w:val="0000FF"/>
              </w:rPr>
              <w:t>15,099</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vMerge w:val="restart"/>
          </w:tcPr>
          <w:p>
            <w:pPr>
              <w:jc w:val="center"/>
              <w:ind w:right="320"/>
              <w:spacing w:after="0"/>
              <w:rPr>
                <w:sz w:val="20"/>
                <w:szCs w:val="20"/>
                <w:color w:val="auto"/>
              </w:rPr>
            </w:pPr>
            <w:r>
              <w:rPr>
                <w:rFonts w:ascii="Arial" w:cs="Arial" w:eastAsia="Arial" w:hAnsi="Arial"/>
                <w:sz w:val="17"/>
                <w:szCs w:val="17"/>
                <w:color w:val="0000FF"/>
              </w:rPr>
              <w:t>5,689</w:t>
            </w:r>
            <w:r>
              <w:rPr>
                <w:rFonts w:ascii="Arial" w:cs="Arial" w:eastAsia="Arial" w:hAnsi="Arial"/>
                <w:sz w:val="22"/>
                <w:szCs w:val="22"/>
                <w:color w:val="008000"/>
                <w:vertAlign w:val="superscript"/>
              </w:rPr>
              <w:t>(1)</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3860" w:type="dxa"/>
            <w:vAlign w:val="bottom"/>
            <w:tcBorders>
              <w:bottom w:val="single" w:sz="8" w:color="2C2C2C"/>
            </w:tcBorders>
            <w:gridSpan w:val="6"/>
          </w:tcPr>
          <w:p>
            <w:pPr>
              <w:spacing w:after="0"/>
              <w:rPr>
                <w:sz w:val="8"/>
                <w:szCs w:val="8"/>
                <w:color w:val="auto"/>
              </w:rPr>
            </w:pPr>
          </w:p>
        </w:tc>
        <w:tc>
          <w:tcPr>
            <w:tcW w:w="278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60" w:type="dxa"/>
            <w:vAlign w:val="bottom"/>
            <w:gridSpan w:val="9"/>
          </w:tcPr>
          <w:p>
            <w:pPr>
              <w:ind w:left="5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960" w:type="dxa"/>
            <w:vAlign w:val="bottom"/>
          </w:tcPr>
          <w:p>
            <w:pPr>
              <w:ind w:left="20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960" w:type="dxa"/>
            <w:vAlign w:val="bottom"/>
            <w:vMerge w:val="restart"/>
          </w:tcPr>
          <w:p>
            <w:pPr>
              <w:ind w:left="460"/>
              <w:spacing w:after="0"/>
              <w:rPr>
                <w:sz w:val="20"/>
                <w:szCs w:val="20"/>
                <w:color w:val="auto"/>
              </w:rPr>
            </w:pPr>
            <w:r>
              <w:rPr>
                <w:rFonts w:ascii="Arial" w:cs="Arial" w:eastAsia="Arial" w:hAnsi="Arial"/>
                <w:sz w:val="11"/>
                <w:szCs w:val="11"/>
                <w:color w:val="008000"/>
              </w:rPr>
              <w:t>(2)</w:t>
            </w:r>
          </w:p>
        </w:tc>
        <w:tc>
          <w:tcPr>
            <w:tcW w:w="1080" w:type="dxa"/>
            <w:vAlign w:val="bottom"/>
            <w:vMerge w:val="restart"/>
          </w:tcPr>
          <w:p>
            <w:pPr>
              <w:ind w:left="220"/>
              <w:spacing w:after="0"/>
              <w:rPr>
                <w:sz w:val="20"/>
                <w:szCs w:val="20"/>
                <w:color w:val="auto"/>
              </w:rPr>
            </w:pPr>
            <w:r>
              <w:rPr>
                <w:rFonts w:ascii="Arial" w:cs="Arial" w:eastAsia="Arial" w:hAnsi="Arial"/>
                <w:sz w:val="13"/>
                <w:szCs w:val="13"/>
                <w:color w:val="0000FF"/>
              </w:rPr>
              <w:t>12/27/2006</w:t>
            </w:r>
          </w:p>
        </w:tc>
        <w:tc>
          <w:tcPr>
            <w:tcW w:w="1100" w:type="dxa"/>
            <w:vAlign w:val="bottom"/>
          </w:tcPr>
          <w:p>
            <w:pPr>
              <w:spacing w:after="0"/>
              <w:rPr>
                <w:sz w:val="12"/>
                <w:szCs w:val="12"/>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220" w:type="dxa"/>
            <w:vAlign w:val="bottom"/>
          </w:tcPr>
          <w:p>
            <w:pPr>
              <w:spacing w:after="0"/>
              <w:rPr>
                <w:sz w:val="12"/>
                <w:szCs w:val="12"/>
                <w:color w:val="auto"/>
              </w:rPr>
            </w:pPr>
          </w:p>
        </w:tc>
        <w:tc>
          <w:tcPr>
            <w:tcW w:w="820" w:type="dxa"/>
            <w:vAlign w:val="bottom"/>
            <w:vMerge w:val="restart"/>
          </w:tcPr>
          <w:p>
            <w:pPr>
              <w:ind w:left="80"/>
              <w:spacing w:after="0" w:line="273" w:lineRule="exact"/>
              <w:rPr>
                <w:sz w:val="20"/>
                <w:szCs w:val="20"/>
                <w:color w:val="auto"/>
              </w:rPr>
            </w:pPr>
            <w:r>
              <w:rPr>
                <w:rFonts w:ascii="Arial" w:cs="Arial" w:eastAsia="Arial" w:hAnsi="Arial"/>
                <w:sz w:val="26"/>
                <w:szCs w:val="26"/>
                <w:color w:val="0000FF"/>
                <w:vertAlign w:val="subscript"/>
              </w:rPr>
              <w:t>21</w:t>
            </w:r>
            <w:r>
              <w:rPr>
                <w:rFonts w:ascii="Arial" w:cs="Arial" w:eastAsia="Arial" w:hAnsi="Arial"/>
                <w:sz w:val="11"/>
                <w:szCs w:val="11"/>
                <w:color w:val="008000"/>
              </w:rPr>
              <w:t>(3)</w:t>
            </w: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(4)</w:t>
            </w:r>
          </w:p>
        </w:tc>
        <w:tc>
          <w:tcPr>
            <w:tcW w:w="70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160"/>
              <w:spacing w:after="0"/>
              <w:rPr>
                <w:sz w:val="20"/>
                <w:szCs w:val="20"/>
                <w:color w:val="auto"/>
              </w:rPr>
            </w:pPr>
            <w:r>
              <w:rPr>
                <w:rFonts w:ascii="Arial" w:cs="Arial" w:eastAsia="Arial" w:hAnsi="Arial"/>
                <w:sz w:val="17"/>
                <w:szCs w:val="17"/>
                <w:color w:val="0000FF"/>
              </w:rPr>
              <w:t>21</w:t>
            </w: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579.01</w:t>
            </w:r>
            <w:r>
              <w:rPr>
                <w:rFonts w:ascii="Arial" w:cs="Arial" w:eastAsia="Arial" w:hAnsi="Arial"/>
                <w:sz w:val="22"/>
                <w:szCs w:val="22"/>
                <w:color w:val="008000"/>
                <w:vertAlign w:val="superscript"/>
              </w:rPr>
              <w:t>(5)</w:t>
            </w:r>
          </w:p>
        </w:tc>
        <w:tc>
          <w:tcPr>
            <w:tcW w:w="600" w:type="dxa"/>
            <w:vAlign w:val="bottom"/>
            <w:vMerge w:val="restart"/>
          </w:tcPr>
          <w:p>
            <w:pPr>
              <w:ind w:left="280"/>
              <w:spacing w:after="0"/>
              <w:rPr>
                <w:sz w:val="20"/>
                <w:szCs w:val="20"/>
                <w:color w:val="auto"/>
              </w:rPr>
            </w:pPr>
            <w:r>
              <w:rPr>
                <w:rFonts w:ascii="Arial" w:cs="Arial" w:eastAsia="Arial" w:hAnsi="Arial"/>
                <w:sz w:val="13"/>
                <w:szCs w:val="13"/>
                <w:color w:val="0000FF"/>
                <w:w w:val="92"/>
              </w:rPr>
              <w:t>6,260</w:t>
            </w:r>
          </w:p>
        </w:tc>
        <w:tc>
          <w:tcPr>
            <w:tcW w:w="30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(Deferred</w:t>
            </w:r>
          </w:p>
        </w:tc>
        <w:tc>
          <w:tcPr>
            <w:tcW w:w="9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Compensation)</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420" w:firstLine="6"/>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Since December 11, 2006, the Reporting Person's last filing, Reporting Person acquired one share of WTM Common Shares under the Folksamerica 401(k) Plan. WTM Common Shares are purchased at fair market value on the date of purchase. The information in this report is based on a plan statement dated as of November 30, 2006.</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8" w:lineRule="exact"/>
        <w:rPr>
          <w:rFonts w:ascii="Arial" w:cs="Arial" w:eastAsia="Arial" w:hAnsi="Arial"/>
          <w:sz w:val="13"/>
          <w:szCs w:val="13"/>
          <w:color w:val="008000"/>
        </w:rPr>
      </w:pPr>
    </w:p>
    <w:p>
      <w:pPr>
        <w:ind w:left="40" w:right="360" w:firstLine="6"/>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December 27, 2006, the Reporting Person's deferred compensation account was credited with Phantom Shares equal in value to the ordinary dividend paid on the underlying WTM Common Shares on the dividend date.</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Phantom Shares are payable, as a result of the Reporting Person's previous separation of employment from WTM, in cash, in five equal installments that commenced in 2005. Final payment is due in 2009.</w:t>
      </w:r>
    </w:p>
    <w:p>
      <w:pPr>
        <w:spacing w:after="0" w:line="60" w:lineRule="exact"/>
        <w:rPr>
          <w:rFonts w:ascii="Arial" w:cs="Arial" w:eastAsia="Arial" w:hAnsi="Arial"/>
          <w:sz w:val="12"/>
          <w:szCs w:val="12"/>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Dividends are automatically invested in Phantom Shares at the fair market price of the underlying WTM Common Shares on December 27, 2006, the date the dividends are deemed to be paid.</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27" w:lineRule="auto"/>
        <w:rPr>
          <w:sz w:val="20"/>
          <w:szCs w:val="20"/>
          <w:color w:val="auto"/>
        </w:rPr>
      </w:pPr>
      <w:r>
        <w:rPr>
          <w:rFonts w:ascii="Arial" w:cs="Arial" w:eastAsia="Arial" w:hAnsi="Arial"/>
          <w:sz w:val="17"/>
          <w:szCs w:val="17"/>
          <w:color w:val="0000FF"/>
        </w:rPr>
        <w:t xml:space="preserve">Dennis P. Beaulieu, by Power of </w:t>
      </w:r>
      <w:r>
        <w:rPr>
          <w:rFonts w:ascii="Arial" w:cs="Arial" w:eastAsia="Arial" w:hAnsi="Arial"/>
          <w:sz w:val="34"/>
          <w:szCs w:val="34"/>
          <w:color w:val="0000FF"/>
          <w:vertAlign w:val="subscript"/>
        </w:rPr>
        <w:t>12/28/2006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-27305</wp:posOffset>
            </wp:positionV>
            <wp:extent cx="14160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605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-17780</wp:posOffset>
            </wp:positionV>
            <wp:extent cx="3879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8798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-85090</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3" w:lineRule="exact"/>
        <w:rPr>
          <w:sz w:val="20"/>
          <w:szCs w:val="20"/>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40" w:firstLine="6"/>
        <w:spacing w:after="0" w:line="316"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ind w:right="3399"/>
        <w:spacing w:after="0" w:line="24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General Counsel, and Dennis P. Beaulieu, Secretary, of White Mountains Insurance Group, Ltd., and Jason R. Lichtenstein, Vice President and Assistant General Counsel of White Mountains Capital, Inc., signing singly, the undersigned's true and lawful attorney-in-fact to:</w:t>
      </w:r>
    </w:p>
    <w:p>
      <w:pPr>
        <w:spacing w:after="0" w:line="2" w:lineRule="exact"/>
        <w:rPr>
          <w:sz w:val="20"/>
          <w:szCs w:val="20"/>
          <w:color w:val="auto"/>
        </w:rPr>
      </w:pPr>
    </w:p>
    <w:p>
      <w:pPr>
        <w:ind w:right="3919" w:firstLine="6"/>
        <w:spacing w:after="0" w:line="247" w:lineRule="auto"/>
        <w:tabs>
          <w:tab w:leader="none" w:pos="4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1" w:lineRule="exact"/>
        <w:rPr>
          <w:rFonts w:ascii="Courier New" w:cs="Courier New" w:eastAsia="Courier New" w:hAnsi="Courier New"/>
          <w:sz w:val="17"/>
          <w:szCs w:val="17"/>
          <w:color w:val="auto"/>
        </w:rPr>
      </w:pPr>
    </w:p>
    <w:p>
      <w:pPr>
        <w:ind w:right="3819" w:firstLine="6"/>
        <w:spacing w:after="0" w:line="247" w:lineRule="auto"/>
        <w:tabs>
          <w:tab w:leader="none" w:pos="4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w:t>
      </w:r>
    </w:p>
    <w:p>
      <w:pPr>
        <w:spacing w:after="0" w:line="5" w:lineRule="exact"/>
        <w:rPr>
          <w:rFonts w:ascii="Courier New" w:cs="Courier New" w:eastAsia="Courier New" w:hAnsi="Courier New"/>
          <w:sz w:val="17"/>
          <w:szCs w:val="17"/>
          <w:color w:val="auto"/>
        </w:rPr>
      </w:pPr>
    </w:p>
    <w:p>
      <w:pPr>
        <w:ind w:right="33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1" w:lineRule="exact"/>
        <w:rPr>
          <w:rFonts w:ascii="Courier New" w:cs="Courier New" w:eastAsia="Courier New" w:hAnsi="Courier New"/>
          <w:sz w:val="17"/>
          <w:szCs w:val="17"/>
          <w:color w:val="auto"/>
        </w:rPr>
      </w:pP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7"/>
          <w:szCs w:val="17"/>
          <w:color w:val="auto"/>
        </w:rPr>
      </w:pPr>
    </w:p>
    <w:p>
      <w:pPr>
        <w:ind w:right="33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3" w:lineRule="exact"/>
        <w:rPr>
          <w:rFonts w:ascii="Courier New" w:cs="Courier New" w:eastAsia="Courier New" w:hAnsi="Courier New"/>
          <w:sz w:val="17"/>
          <w:szCs w:val="17"/>
          <w:color w:val="auto"/>
        </w:rPr>
      </w:pPr>
    </w:p>
    <w:p>
      <w:pPr>
        <w:ind w:right="36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 w:lineRule="exact"/>
        <w:rPr>
          <w:rFonts w:ascii="Courier New" w:cs="Courier New" w:eastAsia="Courier New" w:hAnsi="Courier New"/>
          <w:sz w:val="17"/>
          <w:szCs w:val="17"/>
          <w:color w:val="auto"/>
        </w:rPr>
      </w:pP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40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0" w:lineRule="exact"/>
        <w:rPr>
          <w:sz w:val="20"/>
          <w:szCs w:val="20"/>
          <w:color w:val="auto"/>
        </w:rPr>
      </w:pPr>
    </w:p>
    <w:p>
      <w:pPr>
        <w:ind w:right="4959"/>
        <w:spacing w:after="0" w:line="247"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13th day of October, 2006.</w:t>
      </w:r>
    </w:p>
    <w:p>
      <w:pPr>
        <w:spacing w:after="0" w:line="199"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Morgan W. Davis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6534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2019-12-17T10:31:45Z</dcterms:created>
  <dcterms:modified xsi:type="dcterms:W3CDTF">2019-12-17T10:31:45Z</dcterms:modified>
</cp:coreProperties>
</file>