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653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653405"/>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MORGAN W</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2"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2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40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50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5"/>
                <w:szCs w:val="15"/>
                <w:color w:val="auto"/>
              </w:rPr>
            </w:pPr>
          </w:p>
        </w:tc>
        <w:tc>
          <w:tcPr>
            <w:tcW w:w="2920" w:type="dxa"/>
            <w:vAlign w:val="bottom"/>
            <w:gridSpan w:val="2"/>
          </w:tcPr>
          <w:p>
            <w:pPr>
              <w:ind w:left="120"/>
              <w:spacing w:after="0" w:line="183" w:lineRule="exact"/>
              <w:rPr>
                <w:sz w:val="20"/>
                <w:szCs w:val="20"/>
                <w:color w:val="auto"/>
              </w:rPr>
            </w:pPr>
            <w:r>
              <w:rPr>
                <w:rFonts w:ascii="Arial" w:cs="Arial" w:eastAsia="Arial" w:hAnsi="Arial"/>
                <w:sz w:val="17"/>
                <w:szCs w:val="17"/>
                <w:color w:val="0000FF"/>
              </w:rPr>
              <w:t>President, American Centennial</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03/28/2007</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4" w:lineRule="exact"/>
        <w:rPr>
          <w:sz w:val="20"/>
          <w:szCs w:val="20"/>
          <w:color w:val="auto"/>
        </w:rPr>
      </w:pPr>
    </w:p>
    <w:p>
      <w:pPr>
        <w:sectPr>
          <w:pgSz w:w="11900" w:h="16838" w:orient="portrait"/>
          <w:cols w:equalWidth="0" w:num="2">
            <w:col w:w="3900" w:space="10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80" w:type="dxa"/>
            <w:vAlign w:val="bottom"/>
          </w:tcPr>
          <w:p>
            <w:pPr>
              <w:spacing w:after="0"/>
              <w:rPr>
                <w:sz w:val="13"/>
                <w:szCs w:val="13"/>
                <w:color w:val="auto"/>
              </w:rPr>
            </w:pPr>
          </w:p>
        </w:tc>
        <w:tc>
          <w:tcPr>
            <w:tcW w:w="170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00" w:type="dxa"/>
            <w:vAlign w:val="bottom"/>
            <w:gridSpan w:val="2"/>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60"/>
              <w:spacing w:after="0"/>
              <w:rPr>
                <w:sz w:val="20"/>
                <w:szCs w:val="20"/>
                <w:color w:val="auto"/>
              </w:rPr>
            </w:pPr>
            <w:r>
              <w:rPr>
                <w:rFonts w:ascii="Arial" w:cs="Arial" w:eastAsia="Arial" w:hAnsi="Arial"/>
                <w:sz w:val="17"/>
                <w:szCs w:val="17"/>
                <w:color w:val="0000FF"/>
              </w:rPr>
              <w:t>15,099</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20"/>
              <w:spacing w:after="0"/>
              <w:rPr>
                <w:sz w:val="20"/>
                <w:szCs w:val="20"/>
                <w:color w:val="auto"/>
              </w:rPr>
            </w:pPr>
            <w:r>
              <w:rPr>
                <w:rFonts w:ascii="Arial" w:cs="Arial" w:eastAsia="Arial" w:hAnsi="Arial"/>
                <w:sz w:val="17"/>
                <w:szCs w:val="17"/>
                <w:color w:val="0000FF"/>
              </w:rPr>
              <w:t>5,360</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60" w:type="dxa"/>
            <w:vAlign w:val="bottom"/>
            <w:gridSpan w:val="9"/>
          </w:tcPr>
          <w:p>
            <w:pPr>
              <w:ind w:left="5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960" w:type="dxa"/>
            <w:vAlign w:val="bottom"/>
          </w:tcPr>
          <w:p>
            <w:pPr>
              <w:ind w:left="20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20" w:type="dxa"/>
            <w:vAlign w:val="bottom"/>
          </w:tcPr>
          <w:p>
            <w:pPr>
              <w:ind w:left="60"/>
              <w:spacing w:after="0"/>
              <w:rPr>
                <w:sz w:val="20"/>
                <w:szCs w:val="20"/>
                <w:color w:val="auto"/>
              </w:rPr>
            </w:pPr>
            <w:r>
              <w:rPr>
                <w:rFonts w:ascii="Arial" w:cs="Arial" w:eastAsia="Arial" w:hAnsi="Arial"/>
                <w:sz w:val="13"/>
                <w:szCs w:val="13"/>
                <w:color w:val="0000FF"/>
              </w:rPr>
              <w:t>Phantom</w:t>
            </w:r>
          </w:p>
        </w:tc>
        <w:tc>
          <w:tcPr>
            <w:tcW w:w="9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2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960" w:type="dxa"/>
            <w:vAlign w:val="bottom"/>
            <w:vMerge w:val="restart"/>
          </w:tcPr>
          <w:p>
            <w:pPr>
              <w:ind w:left="460"/>
              <w:spacing w:after="0"/>
              <w:rPr>
                <w:sz w:val="20"/>
                <w:szCs w:val="20"/>
                <w:color w:val="auto"/>
              </w:rPr>
            </w:pPr>
            <w:r>
              <w:rPr>
                <w:rFonts w:ascii="Arial" w:cs="Arial" w:eastAsia="Arial" w:hAnsi="Arial"/>
                <w:sz w:val="11"/>
                <w:szCs w:val="11"/>
                <w:color w:val="008000"/>
              </w:rPr>
              <w:t>(2)</w:t>
            </w:r>
          </w:p>
        </w:tc>
        <w:tc>
          <w:tcPr>
            <w:tcW w:w="1080" w:type="dxa"/>
            <w:vAlign w:val="bottom"/>
            <w:vMerge w:val="restart"/>
          </w:tcPr>
          <w:p>
            <w:pPr>
              <w:ind w:left="220"/>
              <w:spacing w:after="0"/>
              <w:rPr>
                <w:sz w:val="20"/>
                <w:szCs w:val="20"/>
                <w:color w:val="auto"/>
              </w:rPr>
            </w:pPr>
            <w:r>
              <w:rPr>
                <w:rFonts w:ascii="Arial" w:cs="Arial" w:eastAsia="Arial" w:hAnsi="Arial"/>
                <w:sz w:val="13"/>
                <w:szCs w:val="13"/>
                <w:color w:val="0000FF"/>
              </w:rPr>
              <w:t>03/28/2007</w:t>
            </w:r>
          </w:p>
        </w:tc>
        <w:tc>
          <w:tcPr>
            <w:tcW w:w="1100" w:type="dxa"/>
            <w:vAlign w:val="bottom"/>
          </w:tcPr>
          <w:p>
            <w:pPr>
              <w:spacing w:after="0"/>
              <w:rPr>
                <w:sz w:val="12"/>
                <w:szCs w:val="12"/>
                <w:color w:val="auto"/>
              </w:rPr>
            </w:pPr>
          </w:p>
        </w:tc>
        <w:tc>
          <w:tcPr>
            <w:tcW w:w="60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2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24</w:t>
            </w:r>
            <w:r>
              <w:rPr>
                <w:rFonts w:ascii="Arial" w:cs="Arial" w:eastAsia="Arial" w:hAnsi="Arial"/>
                <w:sz w:val="11"/>
                <w:szCs w:val="11"/>
                <w:color w:val="008000"/>
              </w:rPr>
              <w:t>(3)</w:t>
            </w: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ind w:left="8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0000FF"/>
              </w:rPr>
              <w:t>24</w:t>
            </w: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560</w:t>
            </w:r>
            <w:r>
              <w:rPr>
                <w:rFonts w:ascii="Arial" w:cs="Arial" w:eastAsia="Arial" w:hAnsi="Arial"/>
                <w:sz w:val="22"/>
                <w:szCs w:val="22"/>
                <w:color w:val="008000"/>
                <w:vertAlign w:val="superscript"/>
              </w:rPr>
              <w:t>(5)</w:t>
            </w:r>
          </w:p>
        </w:tc>
        <w:tc>
          <w:tcPr>
            <w:tcW w:w="900" w:type="dxa"/>
            <w:vAlign w:val="bottom"/>
            <w:gridSpan w:val="2"/>
            <w:vMerge w:val="restart"/>
          </w:tcPr>
          <w:p>
            <w:pPr>
              <w:ind w:left="220"/>
              <w:spacing w:after="0"/>
              <w:rPr>
                <w:sz w:val="20"/>
                <w:szCs w:val="20"/>
                <w:color w:val="auto"/>
              </w:rPr>
            </w:pPr>
            <w:r>
              <w:rPr>
                <w:rFonts w:ascii="Arial" w:cs="Arial" w:eastAsia="Arial" w:hAnsi="Arial"/>
                <w:sz w:val="13"/>
                <w:szCs w:val="13"/>
                <w:color w:val="0000FF"/>
              </w:rPr>
              <w:t>6,540</w:t>
            </w:r>
            <w:r>
              <w:rPr>
                <w:rFonts w:ascii="Arial" w:cs="Arial" w:eastAsia="Arial" w:hAnsi="Arial"/>
                <w:sz w:val="22"/>
                <w:szCs w:val="22"/>
                <w:color w:val="008000"/>
                <w:vertAlign w:val="superscript"/>
              </w:rPr>
              <w:t>(6)</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(Deferred</w:t>
            </w:r>
          </w:p>
        </w:tc>
        <w:tc>
          <w:tcPr>
            <w:tcW w:w="96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vMerge w:val="restart"/>
          </w:tcPr>
          <w:p>
            <w:pPr>
              <w:ind w:left="160"/>
              <w:spacing w:after="0"/>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Compensation)</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20" w:firstLine="6"/>
        <w:spacing w:after="0" w:line="246"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January 25, 2007, the date of Reporting Person's last filing, Reporting Person acquired 6 shares of WTM Common Shares under the Folksamerica 401(k) Plan. WTM Common Shares are purchased at fair market value on the date of purchase. The information in this report is based on a plan statement dated as of February 29, 2007. This amount also reflects a reclassification to Phantom Shares of 256 Common Shares previously reported as Non-Derivative Securities in the Reporting Person's last filing.</w:t>
      </w:r>
    </w:p>
    <w:p>
      <w:pPr>
        <w:spacing w:after="0" w:line="29"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60" w:firstLine="6"/>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28, 2007, the Reporting Person's deferred compensation account was credited with Phantom Shares equal in value to the ordinary dividend paid on the underlying WTM Common Shares on the dividend date.</w:t>
      </w:r>
    </w:p>
    <w:p>
      <w:pPr>
        <w:spacing w:after="0" w:line="21"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Shares are payable, as a result of the Reporting Person's previous separation of employment from WTM, in cash, in five equal installments that commenced in 2005. Final payment is due in 2009.</w:t>
      </w:r>
    </w:p>
    <w:p>
      <w:pPr>
        <w:spacing w:after="0" w:line="60" w:lineRule="exact"/>
        <w:rPr>
          <w:rFonts w:ascii="Arial" w:cs="Arial" w:eastAsia="Arial" w:hAnsi="Arial"/>
          <w:sz w:val="12"/>
          <w:szCs w:val="12"/>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March 28, 2007, the date the dividends are deemed to be paid.</w:t>
      </w:r>
    </w:p>
    <w:p>
      <w:pPr>
        <w:spacing w:after="0" w:line="48" w:lineRule="exact"/>
        <w:rPr>
          <w:rFonts w:ascii="Arial" w:cs="Arial" w:eastAsia="Arial" w:hAnsi="Arial"/>
          <w:sz w:val="13"/>
          <w:szCs w:val="13"/>
          <w:color w:val="008000"/>
        </w:rPr>
      </w:pPr>
    </w:p>
    <w:p>
      <w:pPr>
        <w:ind w:left="180" w:hanging="134"/>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reclassification to Phantom Shares of 256 Common Shares previously reported as Non-Derivative Securities in the Reporting Person's last Form 4 filed on January 25, 2007.</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4" w:right="139" w:bottom="1440" w:gutter="0" w:footer="0" w:header="0"/>
          <w:type w:val="continuous"/>
        </w:sectPr>
      </w:pPr>
    </w:p>
    <w:p>
      <w:pPr>
        <w:spacing w:after="0" w:line="146"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Jason R. Lichtenstein,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5080</wp:posOffset>
            </wp:positionV>
            <wp:extent cx="1407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7160" cy="8255"/>
                    </a:xfrm>
                    <a:prstGeom prst="rect">
                      <a:avLst/>
                    </a:prstGeom>
                    <a:noFill/>
                  </pic:spPr>
                </pic:pic>
              </a:graphicData>
            </a:graphic>
          </wp:anchor>
        </w:drawing>
      </w:r>
    </w:p>
    <w:p>
      <w:pPr>
        <w:spacing w:after="0" w:line="25" w:lineRule="exact"/>
        <w:rPr>
          <w:sz w:val="20"/>
          <w:szCs w:val="20"/>
          <w:color w:val="auto"/>
        </w:rPr>
      </w:pPr>
    </w:p>
    <w:p>
      <w:pPr>
        <w:ind w:left="6860"/>
        <w:spacing w:after="0"/>
        <w:rPr>
          <w:sz w:val="20"/>
          <w:szCs w:val="20"/>
          <w:color w:val="auto"/>
        </w:rPr>
      </w:pPr>
      <w:r>
        <w:rPr>
          <w:rFonts w:ascii="Arial" w:cs="Arial" w:eastAsia="Arial" w:hAnsi="Arial"/>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4354830</wp:posOffset>
            </wp:positionH>
            <wp:positionV relativeFrom="paragraph">
              <wp:posOffset>-12700</wp:posOffset>
            </wp:positionV>
            <wp:extent cx="506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6095" cy="8255"/>
                    </a:xfrm>
                    <a:prstGeom prst="rect">
                      <a:avLst/>
                    </a:prstGeom>
                    <a:noFill/>
                  </pic:spPr>
                </pic:pic>
              </a:graphicData>
            </a:graphic>
          </wp:anchor>
        </w:drawing>
      </w:r>
    </w:p>
    <w:p>
      <w:pPr>
        <w:spacing w:after="0" w:line="51" w:lineRule="exact"/>
        <w:rPr>
          <w:sz w:val="20"/>
          <w:szCs w:val="20"/>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1400" w:firstLine="6"/>
        <w:spacing w:after="0" w:line="316"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color w:val="0000FF"/>
        </w:rPr>
        <w:t>03/30/2007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26" w:lineRule="exact"/>
        <w:rPr>
          <w:sz w:val="20"/>
          <w:szCs w:val="20"/>
          <w:color w:val="auto"/>
        </w:rPr>
      </w:pPr>
    </w:p>
    <w:p>
      <w:pPr>
        <w:sectPr>
          <w:pgSz w:w="11900" w:h="16838" w:orient="portrait"/>
          <w:cols w:equalWidth="0" w:num="2">
            <w:col w:w="9080" w:space="60"/>
            <w:col w:w="2380"/>
          </w:cols>
          <w:pgMar w:left="240" w:top="224" w:right="13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ind w:right="411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General Counsel, and Dennis P. Beaulieu, Secretary, of White Mountains Insurance Group, Ltd., and Jason R. Lichtenstein, Vice President &amp; Assistant General Counsel, and</w:t>
      </w:r>
    </w:p>
    <w:p>
      <w:pPr>
        <w:spacing w:after="0" w:line="1" w:lineRule="exact"/>
        <w:rPr>
          <w:sz w:val="20"/>
          <w:szCs w:val="20"/>
          <w:color w:val="auto"/>
        </w:rPr>
      </w:pPr>
    </w:p>
    <w:p>
      <w:pPr>
        <w:ind w:right="4339"/>
        <w:spacing w:after="0" w:line="247" w:lineRule="auto"/>
        <w:rPr>
          <w:sz w:val="20"/>
          <w:szCs w:val="20"/>
          <w:color w:val="auto"/>
        </w:rPr>
      </w:pPr>
      <w:r>
        <w:rPr>
          <w:rFonts w:ascii="Courier New" w:cs="Courier New" w:eastAsia="Courier New" w:hAnsi="Courier New"/>
          <w:sz w:val="17"/>
          <w:szCs w:val="17"/>
          <w:color w:val="auto"/>
        </w:rPr>
        <w:t>Michael S. Paquette, Vice President, of White Mountains Capital, Inc., signing singly, the undersigned's true and lawful attorney-in-fact to:</w:t>
      </w:r>
    </w:p>
    <w:p>
      <w:pPr>
        <w:spacing w:after="0" w:line="1" w:lineRule="exact"/>
        <w:rPr>
          <w:sz w:val="20"/>
          <w:szCs w:val="20"/>
          <w:color w:val="auto"/>
        </w:rPr>
      </w:pPr>
    </w:p>
    <w:p>
      <w:pPr>
        <w:ind w:right="39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1" w:lineRule="exact"/>
        <w:rPr>
          <w:rFonts w:ascii="Courier New" w:cs="Courier New" w:eastAsia="Courier New" w:hAnsi="Courier New"/>
          <w:sz w:val="17"/>
          <w:szCs w:val="17"/>
          <w:color w:val="auto"/>
        </w:rPr>
      </w:pPr>
    </w:p>
    <w:p>
      <w:pPr>
        <w:ind w:right="3819" w:firstLine="6"/>
        <w:spacing w:after="0" w:line="247" w:lineRule="auto"/>
        <w:tabs>
          <w:tab w:leader="none" w:pos="41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w:t>
      </w:r>
    </w:p>
    <w:p>
      <w:pPr>
        <w:spacing w:after="0" w:line="5"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3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3" w:lineRule="exact"/>
        <w:rPr>
          <w:rFonts w:ascii="Courier New" w:cs="Courier New" w:eastAsia="Courier New" w:hAnsi="Courier New"/>
          <w:sz w:val="17"/>
          <w:szCs w:val="17"/>
          <w:color w:val="auto"/>
        </w:rPr>
      </w:pPr>
    </w:p>
    <w:p>
      <w:pPr>
        <w:ind w:right="36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 w:lineRule="exact"/>
        <w:rPr>
          <w:rFonts w:ascii="Courier New" w:cs="Courier New" w:eastAsia="Courier New" w:hAnsi="Courier New"/>
          <w:sz w:val="17"/>
          <w:szCs w:val="17"/>
          <w:color w:val="auto"/>
        </w:rPr>
      </w:pP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7"/>
          <w:szCs w:val="17"/>
          <w:color w:val="auto"/>
        </w:rPr>
      </w:pP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22nd day of February 2007.</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Morgan W. Davis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6534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2019-12-18T13:58:02Z</dcterms:created>
  <dcterms:modified xsi:type="dcterms:W3CDTF">2019-12-18T13:58:02Z</dcterms:modified>
</cp:coreProperties>
</file>