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gridSpan w:val="4"/>
            <w:vMerge w:val="restart"/>
          </w:tcPr>
          <w:p>
            <w:pPr>
              <w:spacing w:after="0" w:line="250" w:lineRule="exact"/>
              <w:rPr>
                <w:rFonts w:ascii="Arial" w:cs="Arial" w:eastAsia="Arial" w:hAnsi="Arial"/>
                <w:sz w:val="22"/>
                <w:szCs w:val="22"/>
                <w:color w:val="0000EE"/>
                <w:w w:val="91"/>
              </w:rPr>
            </w:pPr>
            <w:hyperlink r:id="rId12">
              <w:r>
                <w:rPr>
                  <w:rFonts w:ascii="Arial" w:cs="Arial" w:eastAsia="Arial" w:hAnsi="Arial"/>
                  <w:sz w:val="22"/>
                  <w:szCs w:val="22"/>
                  <w:color w:val="0000EE"/>
                  <w:w w:val="91"/>
                </w:rPr>
                <w:t>Oberting Kernan V</w:t>
              </w:r>
            </w:hyperlink>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WHITE MOUNTAINS INSURANCE</w:t>
              </w:r>
            </w:hyperlink>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7"/>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gridSpan w:val="4"/>
            <w:vMerge w:val="continue"/>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4"/>
            <w:vMerge w:val="restart"/>
          </w:tcPr>
          <w:p>
            <w:pPr>
              <w:ind w:left="140"/>
              <w:spacing w:after="0"/>
              <w:rPr>
                <w:sz w:val="20"/>
                <w:szCs w:val="20"/>
                <w:color w:val="auto"/>
              </w:rPr>
            </w:pPr>
            <w:r>
              <w:rPr>
                <w:rFonts w:ascii="Arial" w:cs="Arial" w:eastAsia="Arial" w:hAnsi="Arial"/>
                <w:sz w:val="14"/>
                <w:szCs w:val="14"/>
                <w:color w:val="auto"/>
              </w:rPr>
              <w:t>Director</w:t>
            </w:r>
          </w:p>
        </w:tc>
        <w:tc>
          <w:tcPr>
            <w:tcW w:w="260" w:type="dxa"/>
            <w:vAlign w:val="bottom"/>
            <w:vMerge w:val="restart"/>
          </w:tcPr>
          <w:p>
            <w:pPr>
              <w:spacing w:after="0"/>
              <w:rPr>
                <w:sz w:val="2"/>
                <w:szCs w:val="2"/>
                <w:color w:val="auto"/>
              </w:rPr>
            </w:pPr>
          </w:p>
        </w:tc>
        <w:tc>
          <w:tcPr>
            <w:tcW w:w="1460" w:type="dxa"/>
            <w:vAlign w:val="bottom"/>
            <w:gridSpan w:val="3"/>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80" w:type="dxa"/>
            <w:vAlign w:val="bottom"/>
            <w:tcBorders>
              <w:bottom w:val="single" w:sz="8" w:color="0000EE"/>
            </w:tcBorders>
            <w:gridSpan w:val="4"/>
            <w:vMerge w:val="continue"/>
          </w:tcPr>
          <w:p>
            <w:pPr>
              <w:spacing w:after="0"/>
              <w:rPr>
                <w:sz w:val="5"/>
                <w:szCs w:val="5"/>
                <w:color w:val="auto"/>
              </w:rPr>
            </w:pPr>
          </w:p>
        </w:tc>
        <w:tc>
          <w:tcPr>
            <w:tcW w:w="86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80" w:type="dxa"/>
            <w:vAlign w:val="bottom"/>
            <w:gridSpan w:val="6"/>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4"/>
          </w:tcPr>
          <w:p>
            <w:pPr>
              <w:spacing w:after="0"/>
              <w:rPr>
                <w:sz w:val="4"/>
                <w:szCs w:val="4"/>
                <w:color w:val="auto"/>
              </w:rPr>
            </w:pPr>
          </w:p>
        </w:tc>
        <w:tc>
          <w:tcPr>
            <w:tcW w:w="86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80" w:type="dxa"/>
            <w:vAlign w:val="bottom"/>
            <w:gridSpan w:val="6"/>
            <w:vMerge w:val="continue"/>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80" w:type="dxa"/>
            <w:vAlign w:val="bottom"/>
            <w:gridSpan w:val="6"/>
            <w:vMerge w:val="continue"/>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4"/>
            <w:vMerge w:val="restart"/>
          </w:tcPr>
          <w:p>
            <w:pPr>
              <w:ind w:left="140"/>
              <w:spacing w:after="0" w:line="155" w:lineRule="exact"/>
              <w:rPr>
                <w:sz w:val="20"/>
                <w:szCs w:val="20"/>
                <w:color w:val="auto"/>
              </w:rPr>
            </w:pPr>
            <w:r>
              <w:rPr>
                <w:rFonts w:ascii="Arial" w:cs="Arial" w:eastAsia="Arial" w:hAnsi="Arial"/>
                <w:sz w:val="14"/>
                <w:szCs w:val="14"/>
                <w:color w:val="auto"/>
              </w:rPr>
              <w:t>Officer (give title</w:t>
            </w:r>
          </w:p>
        </w:tc>
        <w:tc>
          <w:tcPr>
            <w:tcW w:w="260" w:type="dxa"/>
            <w:vAlign w:val="bottom"/>
          </w:tcPr>
          <w:p>
            <w:pPr>
              <w:spacing w:after="0"/>
              <w:rPr>
                <w:sz w:val="8"/>
                <w:szCs w:val="8"/>
                <w:color w:val="auto"/>
              </w:rPr>
            </w:pPr>
          </w:p>
        </w:tc>
        <w:tc>
          <w:tcPr>
            <w:tcW w:w="1460" w:type="dxa"/>
            <w:vAlign w:val="bottom"/>
            <w:gridSpan w:val="3"/>
            <w:vMerge w:val="restart"/>
          </w:tcPr>
          <w:p>
            <w:pPr>
              <w:ind w:left="280"/>
              <w:spacing w:after="0" w:line="155"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EEEEEE"/>
            </w:tcBorders>
          </w:tcPr>
          <w:p>
            <w:pPr>
              <w:spacing w:after="0"/>
              <w:rPr>
                <w:sz w:val="8"/>
                <w:szCs w:val="8"/>
                <w:color w:val="auto"/>
              </w:rPr>
            </w:pPr>
          </w:p>
        </w:tc>
        <w:tc>
          <w:tcPr>
            <w:tcW w:w="600" w:type="dxa"/>
            <w:vAlign w:val="bottom"/>
            <w:tcBorders>
              <w:top w:val="single" w:sz="8" w:color="EEEEEE"/>
            </w:tcBorders>
          </w:tcPr>
          <w:p>
            <w:pPr>
              <w:spacing w:after="0"/>
              <w:rPr>
                <w:sz w:val="8"/>
                <w:szCs w:val="8"/>
                <w:color w:val="auto"/>
              </w:rPr>
            </w:pPr>
          </w:p>
        </w:tc>
        <w:tc>
          <w:tcPr>
            <w:tcW w:w="300" w:type="dxa"/>
            <w:vAlign w:val="bottom"/>
            <w:tcBorders>
              <w:top w:val="single" w:sz="8" w:color="EEEEEE"/>
            </w:tcBorders>
          </w:tcPr>
          <w:p>
            <w:pPr>
              <w:spacing w:after="0"/>
              <w:rPr>
                <w:sz w:val="8"/>
                <w:szCs w:val="8"/>
                <w:color w:val="auto"/>
              </w:rPr>
            </w:pPr>
          </w:p>
        </w:tc>
        <w:tc>
          <w:tcPr>
            <w:tcW w:w="140" w:type="dxa"/>
            <w:vAlign w:val="bottom"/>
            <w:tcBorders>
              <w:top w:val="single" w:sz="8" w:color="EEEEEE"/>
            </w:tcBorders>
          </w:tcPr>
          <w:p>
            <w:pPr>
              <w:spacing w:after="0"/>
              <w:rPr>
                <w:sz w:val="8"/>
                <w:szCs w:val="8"/>
                <w:color w:val="auto"/>
              </w:rPr>
            </w:pPr>
          </w:p>
        </w:tc>
        <w:tc>
          <w:tcPr>
            <w:tcW w:w="860" w:type="dxa"/>
            <w:vAlign w:val="bottom"/>
            <w:tcBorders>
              <w:top w:val="single" w:sz="8" w:color="EEEEEE"/>
            </w:tcBorders>
          </w:tcPr>
          <w:p>
            <w:pPr>
              <w:spacing w:after="0"/>
              <w:rPr>
                <w:sz w:val="8"/>
                <w:szCs w:val="8"/>
                <w:color w:val="auto"/>
              </w:rPr>
            </w:pPr>
          </w:p>
        </w:tc>
        <w:tc>
          <w:tcPr>
            <w:tcW w:w="1200" w:type="dxa"/>
            <w:vAlign w:val="bottom"/>
            <w:tcBorders>
              <w:top w:val="single" w:sz="8" w:color="EEEEEE"/>
            </w:tcBorders>
          </w:tcPr>
          <w:p>
            <w:pPr>
              <w:spacing w:after="0"/>
              <w:rPr>
                <w:sz w:val="8"/>
                <w:szCs w:val="8"/>
                <w:color w:val="auto"/>
              </w:rPr>
            </w:pPr>
          </w:p>
        </w:tc>
        <w:tc>
          <w:tcPr>
            <w:tcW w:w="6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4"/>
            <w:vMerge w:val="restart"/>
          </w:tcPr>
          <w:p>
            <w:pPr>
              <w:ind w:left="140"/>
              <w:spacing w:after="0"/>
              <w:rPr>
                <w:sz w:val="20"/>
                <w:szCs w:val="20"/>
                <w:color w:val="auto"/>
              </w:rPr>
            </w:pPr>
            <w:r>
              <w:rPr>
                <w:rFonts w:ascii="Arial" w:cs="Arial" w:eastAsia="Arial" w:hAnsi="Arial"/>
                <w:sz w:val="14"/>
                <w:szCs w:val="14"/>
                <w:color w:val="auto"/>
              </w:rPr>
              <w:t>below)</w:t>
            </w:r>
          </w:p>
        </w:tc>
        <w:tc>
          <w:tcPr>
            <w:tcW w:w="260" w:type="dxa"/>
            <w:vAlign w:val="bottom"/>
          </w:tcPr>
          <w:p>
            <w:pPr>
              <w:spacing w:after="0"/>
              <w:rPr>
                <w:sz w:val="8"/>
                <w:szCs w:val="8"/>
                <w:color w:val="auto"/>
              </w:rPr>
            </w:pPr>
          </w:p>
        </w:tc>
        <w:tc>
          <w:tcPr>
            <w:tcW w:w="700" w:type="dxa"/>
            <w:vAlign w:val="bottom"/>
            <w:vMerge w:val="restart"/>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4"/>
                <w:szCs w:val="4"/>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vMerge w:val="continue"/>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20" w:type="dxa"/>
            <w:vAlign w:val="bottom"/>
            <w:gridSpan w:val="4"/>
            <w:vMerge w:val="restart"/>
          </w:tcPr>
          <w:p>
            <w:pPr>
              <w:ind w:left="180"/>
              <w:spacing w:after="0"/>
              <w:rPr>
                <w:sz w:val="20"/>
                <w:szCs w:val="20"/>
                <w:color w:val="auto"/>
              </w:rPr>
            </w:pPr>
            <w:r>
              <w:rPr>
                <w:rFonts w:ascii="Arial" w:cs="Arial" w:eastAsia="Arial" w:hAnsi="Arial"/>
                <w:sz w:val="18"/>
                <w:szCs w:val="18"/>
                <w:color w:val="0000FF"/>
              </w:rPr>
              <w:t>Managing Director</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gridSpan w:val="8"/>
            <w:vMerge w:val="continue"/>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gridSpan w:val="4"/>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3"/>
            <w:vMerge w:val="restart"/>
          </w:tcPr>
          <w:p>
            <w:pPr>
              <w:spacing w:after="0"/>
              <w:rPr>
                <w:sz w:val="20"/>
                <w:szCs w:val="20"/>
                <w:color w:val="auto"/>
              </w:rPr>
            </w:pPr>
            <w:r>
              <w:rPr>
                <w:rFonts w:ascii="Arial" w:cs="Arial" w:eastAsia="Arial" w:hAnsi="Arial"/>
                <w:sz w:val="18"/>
                <w:szCs w:val="18"/>
                <w:color w:val="0000FF"/>
                <w:w w:val="93"/>
              </w:rPr>
              <w:t>C/O 80 S. MAIN ST.</w:t>
            </w: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5"/>
            <w:vMerge w:val="restart"/>
          </w:tcPr>
          <w:p>
            <w:pPr>
              <w:ind w:left="160"/>
              <w:spacing w:after="0"/>
              <w:rPr>
                <w:sz w:val="20"/>
                <w:szCs w:val="20"/>
                <w:color w:val="auto"/>
              </w:rPr>
            </w:pPr>
            <w:r>
              <w:rPr>
                <w:rFonts w:ascii="Arial" w:cs="Arial" w:eastAsia="Arial" w:hAnsi="Arial"/>
                <w:sz w:val="18"/>
                <w:szCs w:val="18"/>
                <w:color w:val="0000FF"/>
              </w:rPr>
              <w:t>08/05/2014</w:t>
            </w: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20" w:type="dxa"/>
            <w:vAlign w:val="bottom"/>
            <w:gridSpan w:val="4"/>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5"/>
            <w:vMerge w:val="continue"/>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gridSpan w:val="3"/>
          </w:tcPr>
          <w:p>
            <w:pPr>
              <w:spacing w:after="0"/>
              <w:rPr>
                <w:sz w:val="9"/>
                <w:szCs w:val="9"/>
                <w:color w:val="auto"/>
              </w:rPr>
            </w:pPr>
          </w:p>
        </w:tc>
        <w:tc>
          <w:tcPr>
            <w:tcW w:w="320" w:type="dxa"/>
            <w:vAlign w:val="bottom"/>
            <w:tcBorders>
              <w:bottom w:val="single" w:sz="8" w:color="2C2C2C"/>
            </w:tcBorders>
            <w:gridSpan w:val="2"/>
          </w:tcPr>
          <w:p>
            <w:pPr>
              <w:spacing w:after="0"/>
              <w:rPr>
                <w:sz w:val="9"/>
                <w:szCs w:val="9"/>
                <w:color w:val="auto"/>
              </w:rPr>
            </w:pPr>
          </w:p>
        </w:tc>
        <w:tc>
          <w:tcPr>
            <w:tcW w:w="1280" w:type="dxa"/>
            <w:vAlign w:val="bottom"/>
            <w:tcBorders>
              <w:bottom w:val="single" w:sz="8" w:color="2C2C2C"/>
            </w:tcBorders>
            <w:gridSpan w:val="2"/>
          </w:tcPr>
          <w:p>
            <w:pPr>
              <w:spacing w:after="0"/>
              <w:rPr>
                <w:sz w:val="9"/>
                <w:szCs w:val="9"/>
                <w:color w:val="auto"/>
              </w:rPr>
            </w:pPr>
          </w:p>
        </w:tc>
        <w:tc>
          <w:tcPr>
            <w:tcW w:w="540" w:type="dxa"/>
            <w:vAlign w:val="bottom"/>
            <w:tcBorders>
              <w:bottom w:val="single" w:sz="8" w:color="2C2C2C"/>
            </w:tcBorders>
            <w:gridSpan w:val="2"/>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gridSpan w:val="3"/>
          </w:tcPr>
          <w:p>
            <w:pPr>
              <w:spacing w:after="0"/>
              <w:rPr>
                <w:sz w:val="9"/>
                <w:szCs w:val="9"/>
                <w:color w:val="auto"/>
              </w:rPr>
            </w:pPr>
          </w:p>
        </w:tc>
        <w:tc>
          <w:tcPr>
            <w:tcW w:w="520" w:type="dxa"/>
            <w:vAlign w:val="bottom"/>
            <w:tcBorders>
              <w:bottom w:val="single" w:sz="8" w:color="2C2C2C"/>
            </w:tcBorders>
            <w:gridSpan w:val="2"/>
          </w:tcPr>
          <w:p>
            <w:pPr>
              <w:spacing w:after="0"/>
              <w:rPr>
                <w:sz w:val="9"/>
                <w:szCs w:val="9"/>
                <w:color w:val="auto"/>
              </w:rPr>
            </w:pPr>
          </w:p>
        </w:tc>
        <w:tc>
          <w:tcPr>
            <w:tcW w:w="800" w:type="dxa"/>
            <w:vAlign w:val="bottom"/>
            <w:tcBorders>
              <w:bottom w:val="single" w:sz="8" w:color="2C2C2C"/>
            </w:tcBorders>
            <w:gridSpan w:val="2"/>
          </w:tcPr>
          <w:p>
            <w:pPr>
              <w:spacing w:after="0"/>
              <w:rPr>
                <w:sz w:val="9"/>
                <w:szCs w:val="9"/>
                <w:color w:val="auto"/>
              </w:rPr>
            </w:pPr>
          </w:p>
        </w:tc>
        <w:tc>
          <w:tcPr>
            <w:tcW w:w="1440" w:type="dxa"/>
            <w:vAlign w:val="bottom"/>
            <w:tcBorders>
              <w:bottom w:val="single" w:sz="8" w:color="2C2C2C"/>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80" w:type="dxa"/>
            <w:vAlign w:val="bottom"/>
            <w:gridSpan w:val="10"/>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220" w:type="dxa"/>
            <w:vAlign w:val="bottom"/>
          </w:tcPr>
          <w:p>
            <w:pPr>
              <w:spacing w:after="0"/>
              <w:rPr>
                <w:sz w:val="7"/>
                <w:szCs w:val="7"/>
                <w:color w:val="auto"/>
              </w:rPr>
            </w:pPr>
          </w:p>
        </w:tc>
        <w:tc>
          <w:tcPr>
            <w:tcW w:w="200" w:type="dxa"/>
            <w:vAlign w:val="bottom"/>
            <w:vMerge w:val="restart"/>
          </w:tcPr>
          <w:p>
            <w:pPr>
              <w:spacing w:after="0"/>
              <w:rPr>
                <w:sz w:val="7"/>
                <w:szCs w:val="7"/>
                <w:color w:val="auto"/>
              </w:rPr>
            </w:pPr>
          </w:p>
        </w:tc>
        <w:tc>
          <w:tcPr>
            <w:tcW w:w="34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80" w:type="dxa"/>
            <w:vAlign w:val="bottom"/>
            <w:gridSpan w:val="10"/>
            <w:vMerge w:val="continue"/>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34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HANOVER</w:t>
            </w:r>
          </w:p>
        </w:tc>
        <w:tc>
          <w:tcPr>
            <w:tcW w:w="300" w:type="dxa"/>
            <w:vAlign w:val="bottom"/>
          </w:tcPr>
          <w:p>
            <w:pPr>
              <w:ind w:left="40"/>
              <w:spacing w:after="0"/>
              <w:rPr>
                <w:sz w:val="20"/>
                <w:szCs w:val="20"/>
                <w:color w:val="auto"/>
              </w:rPr>
            </w:pPr>
            <w:r>
              <w:rPr>
                <w:rFonts w:ascii="Arial" w:cs="Arial" w:eastAsia="Arial" w:hAnsi="Arial"/>
                <w:sz w:val="18"/>
                <w:szCs w:val="18"/>
                <w:color w:val="0000FF"/>
                <w:w w:val="92"/>
              </w:rPr>
              <w:t>NH</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03755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40" w:type="dxa"/>
            <w:vAlign w:val="bottom"/>
            <w:gridSpan w:val="9"/>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60" w:type="dxa"/>
            <w:vAlign w:val="bottom"/>
            <w:gridSpan w:val="8"/>
          </w:tcPr>
          <w:p>
            <w:pPr>
              <w:ind w:left="16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4"/>
          </w:tcPr>
          <w:p>
            <w:pPr>
              <w:ind w:left="160"/>
              <w:spacing w:after="0"/>
              <w:rPr>
                <w:sz w:val="20"/>
                <w:szCs w:val="20"/>
                <w:color w:val="auto"/>
              </w:rPr>
            </w:pPr>
            <w:r>
              <w:rPr>
                <w:rFonts w:ascii="Arial" w:cs="Arial" w:eastAsia="Arial" w:hAnsi="Arial"/>
                <w:sz w:val="14"/>
                <w:szCs w:val="14"/>
                <w:color w:val="auto"/>
              </w:rPr>
              <w:t>Person</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80" w:type="dxa"/>
            <w:vAlign w:val="bottom"/>
            <w:tcBorders>
              <w:bottom w:val="single" w:sz="8" w:color="2C2C2C"/>
            </w:tcBorders>
            <w:gridSpan w:val="2"/>
          </w:tcPr>
          <w:p>
            <w:pPr>
              <w:spacing w:after="0"/>
              <w:rPr>
                <w:sz w:val="11"/>
                <w:szCs w:val="11"/>
                <w:color w:val="auto"/>
              </w:rPr>
            </w:pPr>
          </w:p>
        </w:tc>
        <w:tc>
          <w:tcPr>
            <w:tcW w:w="54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gridSpan w:val="3"/>
          </w:tcPr>
          <w:p>
            <w:pPr>
              <w:spacing w:after="0"/>
              <w:rPr>
                <w:sz w:val="11"/>
                <w:szCs w:val="11"/>
                <w:color w:val="auto"/>
              </w:rPr>
            </w:pPr>
          </w:p>
        </w:tc>
        <w:tc>
          <w:tcPr>
            <w:tcW w:w="520" w:type="dxa"/>
            <w:vAlign w:val="bottom"/>
            <w:tcBorders>
              <w:bottom w:val="single" w:sz="8" w:color="2C2C2C"/>
            </w:tcBorders>
            <w:gridSpan w:val="2"/>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900" w:type="dxa"/>
            <w:vAlign w:val="bottom"/>
            <w:tcBorders>
              <w:top w:val="single" w:sz="8" w:color="2C2C2C"/>
            </w:tcBorders>
            <w:gridSpan w:val="24"/>
          </w:tcPr>
          <w:p>
            <w:pPr>
              <w:jc w:val="center"/>
              <w:ind w:right="8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8"/>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340" w:type="dxa"/>
            <w:vAlign w:val="bottom"/>
            <w:gridSpan w:val="13"/>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5"/>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3"/>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5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3"/>
              </w:rPr>
              <w:t>Common Shares</w:t>
            </w: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20"/>
              <w:spacing w:after="0"/>
              <w:rPr>
                <w:sz w:val="20"/>
                <w:szCs w:val="20"/>
                <w:color w:val="auto"/>
              </w:rPr>
            </w:pPr>
            <w:r>
              <w:rPr>
                <w:rFonts w:ascii="Arial" w:cs="Arial" w:eastAsia="Arial" w:hAnsi="Arial"/>
                <w:sz w:val="18"/>
                <w:szCs w:val="18"/>
                <w:color w:val="0000FF"/>
              </w:rPr>
              <w:t>08/05/2014</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100</w:t>
            </w: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4"/>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621.49</w:t>
            </w:r>
          </w:p>
        </w:tc>
        <w:tc>
          <w:tcPr>
            <w:tcW w:w="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ind w:left="50"/>
              <w:spacing w:after="0"/>
              <w:rPr>
                <w:sz w:val="20"/>
                <w:szCs w:val="20"/>
                <w:color w:val="auto"/>
              </w:rPr>
            </w:pPr>
            <w:r>
              <w:rPr>
                <w:rFonts w:ascii="Arial" w:cs="Arial" w:eastAsia="Arial" w:hAnsi="Arial"/>
                <w:sz w:val="18"/>
                <w:szCs w:val="18"/>
                <w:color w:val="0000FF"/>
                <w:w w:val="79"/>
              </w:rPr>
              <w:t>0</w:t>
            </w:r>
          </w:p>
        </w:tc>
        <w:tc>
          <w:tcPr>
            <w:tcW w:w="5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8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40" w:type="dxa"/>
            <w:vAlign w:val="bottom"/>
            <w:gridSpan w:val="6"/>
          </w:tcPr>
          <w:p>
            <w:pPr>
              <w:ind w:left="60"/>
              <w:spacing w:after="0"/>
              <w:rPr>
                <w:sz w:val="20"/>
                <w:szCs w:val="20"/>
                <w:color w:val="auto"/>
              </w:rPr>
            </w:pPr>
            <w:r>
              <w:rPr>
                <w:rFonts w:ascii="Arial" w:cs="Arial" w:eastAsia="Arial" w:hAnsi="Arial"/>
                <w:sz w:val="18"/>
                <w:szCs w:val="18"/>
                <w:color w:val="0000FF"/>
              </w:rPr>
              <w:t>Common Shares (Restricted)</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8"/>
                <w:szCs w:val="18"/>
                <w:color w:val="0000FF"/>
                <w:w w:val="88"/>
              </w:rPr>
              <w:t>5,950</w:t>
            </w:r>
          </w:p>
        </w:tc>
        <w:tc>
          <w:tcPr>
            <w:tcW w:w="260" w:type="dxa"/>
            <w:vAlign w:val="bottom"/>
          </w:tcPr>
          <w:p>
            <w:pPr>
              <w:spacing w:after="0"/>
              <w:rPr>
                <w:sz w:val="23"/>
                <w:szCs w:val="23"/>
                <w:color w:val="auto"/>
              </w:rPr>
            </w:pPr>
          </w:p>
        </w:tc>
        <w:tc>
          <w:tcPr>
            <w:tcW w:w="700" w:type="dxa"/>
            <w:vAlign w:val="bottom"/>
          </w:tcPr>
          <w:p>
            <w:pPr>
              <w:jc w:val="center"/>
              <w:ind w:right="282"/>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3"/>
              </w:rPr>
              <w:t>Common Shares</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vMerge w:val="restart"/>
          </w:tcPr>
          <w:p>
            <w:pPr>
              <w:jc w:val="center"/>
              <w:ind w:left="50"/>
              <w:spacing w:after="0"/>
              <w:rPr>
                <w:sz w:val="20"/>
                <w:szCs w:val="20"/>
                <w:color w:val="auto"/>
              </w:rPr>
            </w:pPr>
            <w:r>
              <w:rPr>
                <w:rFonts w:ascii="Arial" w:cs="Arial" w:eastAsia="Arial" w:hAnsi="Arial"/>
                <w:sz w:val="18"/>
                <w:szCs w:val="18"/>
                <w:color w:val="0000FF"/>
                <w:w w:val="79"/>
              </w:rPr>
              <w:t>11</w:t>
            </w: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vMerge w:val="restart"/>
          </w:tcPr>
          <w:p>
            <w:pPr>
              <w:jc w:val="center"/>
              <w:ind w:right="282"/>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128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gridSpan w:val="4"/>
          </w:tcPr>
          <w:p>
            <w:pPr>
              <w:spacing w:after="0"/>
              <w:rPr>
                <w:sz w:val="8"/>
                <w:szCs w:val="8"/>
                <w:color w:val="auto"/>
              </w:rPr>
            </w:pPr>
          </w:p>
        </w:tc>
        <w:tc>
          <w:tcPr>
            <w:tcW w:w="480" w:type="dxa"/>
            <w:vAlign w:val="bottom"/>
            <w:tcBorders>
              <w:bottom w:val="single" w:sz="8" w:color="2C2C2C"/>
            </w:tcBorders>
            <w:gridSpan w:val="3"/>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900" w:type="dxa"/>
            <w:vAlign w:val="bottom"/>
            <w:tcBorders>
              <w:top w:val="single" w:sz="8" w:color="2C2C2C"/>
            </w:tcBorders>
            <w:gridSpan w:val="24"/>
          </w:tcPr>
          <w:p>
            <w:pPr>
              <w:jc w:val="center"/>
              <w:ind w:right="6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8"/>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6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gridSpan w:val="6"/>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color w:val="008000"/>
              </w:rPr>
              <w:t>1. Open market sale</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Remarks:</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gridSpan w:val="10"/>
          </w:tcPr>
          <w:p>
            <w:pPr>
              <w:spacing w:after="0"/>
              <w:rPr>
                <w:sz w:val="20"/>
                <w:szCs w:val="20"/>
                <w:color w:val="auto"/>
              </w:rPr>
            </w:pPr>
            <w:r>
              <w:rPr>
                <w:rFonts w:ascii="Arial" w:cs="Arial" w:eastAsia="Arial" w:hAnsi="Arial"/>
                <w:sz w:val="18"/>
                <w:szCs w:val="18"/>
                <w:color w:val="0000FF"/>
                <w:w w:val="97"/>
              </w:rPr>
              <w:t>Jason R. Lichtenstein, by</w:t>
            </w:r>
          </w:p>
        </w:tc>
        <w:tc>
          <w:tcPr>
            <w:tcW w:w="182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08/06/2014</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20" w:type="dxa"/>
            <w:vAlign w:val="bottom"/>
            <w:tcBorders>
              <w:top w:val="single" w:sz="8" w:color="auto"/>
            </w:tcBorders>
            <w:gridSpan w:val="7"/>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8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82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20" w:type="dxa"/>
            <w:vAlign w:val="bottom"/>
            <w:tcBorders>
              <w:top w:val="single" w:sz="8" w:color="auto"/>
              <w:bottom w:val="single" w:sz="8" w:color="auto"/>
            </w:tcBorders>
            <w:gridSpan w:val="7"/>
            <w:vMerge w:val="continue"/>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80" w:type="dxa"/>
            <w:vAlign w:val="bottom"/>
            <w:gridSpan w:val="10"/>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40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w:t>
      </w:r>
    </w:p>
    <w:p>
      <w:pPr>
        <w:spacing w:after="0" w:line="1"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Mountains Insurance Group, Ltd. (WTM), and Jason R. Lichtenstein, Vice President &amp; Associate General Counsel of White Mountains Capital, Inc., signing singly, the undersigned's true and lawful attorney-in-fact to: (1) execute for and on behalf</w:t>
      </w:r>
    </w:p>
    <w:p>
      <w:pPr>
        <w:spacing w:after="0" w:line="1" w:lineRule="exact"/>
        <w:rPr>
          <w:sz w:val="20"/>
          <w:szCs w:val="20"/>
          <w:color w:val="auto"/>
        </w:rPr>
      </w:pPr>
    </w:p>
    <w:p>
      <w:pPr>
        <w:ind w:right="3779"/>
        <w:spacing w:after="0" w:line="268" w:lineRule="auto"/>
        <w:rPr>
          <w:sz w:val="20"/>
          <w:szCs w:val="20"/>
          <w:color w:val="auto"/>
        </w:rPr>
      </w:pPr>
      <w:r>
        <w:rPr>
          <w:rFonts w:ascii="Courier New" w:cs="Courier New" w:eastAsia="Courier New" w:hAnsi="Courier New"/>
          <w:sz w:val="16"/>
          <w:szCs w:val="16"/>
          <w:color w:val="auto"/>
        </w:rPr>
        <w:t>of the undersigned, in the undersigned's capacity as a legal entity, Forms 3, 4, and 5 in accordance with Section 16(a) of the Securities Exchange Act of 1934 and the rules thereunder; (2)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left="420" w:hanging="412"/>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w:t>
      </w:r>
    </w:p>
    <w:p>
      <w:pPr>
        <w:spacing w:after="0" w:line="12"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any transactions to be reported on Forms 3, 4 and 5 are not assuming any of the undersigned's responsibilities to comply with Section 16 of the Securities Exchange Act of 1934.</w:t>
      </w: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 such form with the United States Securities and Exchange Commission and any stock exchange or similar authority.</w:t>
      </w:r>
    </w:p>
    <w:p>
      <w:pPr>
        <w:spacing w:after="0" w:line="10"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or any affiliate of WTM, holdings of and transactions in publicly-traded securities, unless earlier revoked by the undersigned in</w:t>
      </w:r>
    </w:p>
    <w:p>
      <w:pPr>
        <w:ind w:right="36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 signed writing delivered to the foregoing attorneys-in-fact. IN WITNESS WHEREOF, the undersigned has caused this Power</w:t>
      </w:r>
    </w:p>
    <w:p>
      <w:pPr>
        <w:ind w:right="68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Attorney to be executed as of this 27nd day of February 2013.</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Kernan V. Oberting</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0545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2019-12-18T12:53:17Z</dcterms:created>
  <dcterms:modified xsi:type="dcterms:W3CDTF">2019-12-18T12:53:17Z</dcterms:modified>
</cp:coreProperties>
</file>