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COCHRAN ROBERT PHILLIPS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07/10/2009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07/10/2009</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3,000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222.4453</w:t>
            </w:r>
          </w:p>
        </w:tc>
        <w:tc>
          <w:tcPr>
            <w:tcW w:w="32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88"/>
              </w:rPr>
              <w:t>4,455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07/13/2009</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8"/>
              </w:rPr>
              <w:t>4,455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223.3904</w:t>
            </w:r>
          </w:p>
        </w:tc>
        <w:tc>
          <w:tcPr>
            <w:tcW w:w="320" w:type="dxa"/>
            <w:vAlign w:val="bottom"/>
          </w:tcPr>
          <w:p>
            <w:pPr>
              <w:spacing w:after="0"/>
              <w:rPr>
                <w:sz w:val="22"/>
                <w:szCs w:val="22"/>
                <w:color w:val="auto"/>
              </w:rPr>
            </w:pPr>
          </w:p>
        </w:tc>
        <w:tc>
          <w:tcPr>
            <w:tcW w:w="900" w:type="dxa"/>
            <w:vAlign w:val="bottom"/>
            <w:vMerge w:val="restart"/>
          </w:tcPr>
          <w:p>
            <w:pPr>
              <w:jc w:val="center"/>
              <w:ind w:right="312"/>
              <w:spacing w:after="0"/>
              <w:rPr>
                <w:sz w:val="20"/>
                <w:szCs w:val="20"/>
                <w:color w:val="auto"/>
              </w:rPr>
            </w:pPr>
            <w:r>
              <w:rPr>
                <w:rFonts w:ascii="Arial" w:cs="Arial" w:eastAsia="Arial" w:hAnsi="Arial"/>
                <w:sz w:val="18"/>
                <w:szCs w:val="18"/>
                <w:color w:val="0000FF"/>
                <w:w w:val="79"/>
              </w:rPr>
              <w:t>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2"/>
              <w:spacing w:after="0"/>
              <w:rPr>
                <w:sz w:val="20"/>
                <w:szCs w:val="20"/>
                <w:color w:val="auto"/>
              </w:rPr>
            </w:pPr>
            <w:r>
              <w:rPr>
                <w:rFonts w:ascii="Arial" w:cs="Arial" w:eastAsia="Arial" w:hAnsi="Arial"/>
                <w:sz w:val="18"/>
                <w:szCs w:val="18"/>
                <w:color w:val="0000FF"/>
                <w:w w:val="82"/>
              </w:rPr>
              <w:t>7,745</w:t>
            </w:r>
            <w:r>
              <w:rPr>
                <w:rFonts w:ascii="Arial" w:cs="Arial" w:eastAsia="Arial" w:hAnsi="Arial"/>
                <w:sz w:val="22"/>
                <w:szCs w:val="22"/>
                <w:color w:val="008000"/>
                <w:w w:val="82"/>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were previously held in a SERP trust account administered by Reporting Person's employer. Sale was initiated by the plan administrator to fund withholding taxes in adherence with an irrevocable distribution election made previously by the Reporting Person.</w:t>
      </w:r>
    </w:p>
    <w:p>
      <w:pPr>
        <w:spacing w:after="0" w:line="30"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distributed to the Reporting Person from a SERP trust account administered by Reporting Person's employer are being reclassified from an indirect holding to a direct holding. The shares were distributed in accordance with an irrevocable election previously made by the Reporting Person.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7"/>
              </w:rPr>
              <w:t>Jason R. Lichtenstein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07/14/2009</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June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P. Cochran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2019-12-18T13:27:26Z</dcterms:created>
  <dcterms:modified xsi:type="dcterms:W3CDTF">2019-12-18T13:27:26Z</dcterms:modified>
</cp:coreProperties>
</file>