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02/26/2014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02/26/2014</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650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60"/>
              <w:spacing w:after="0"/>
              <w:rPr>
                <w:sz w:val="20"/>
                <w:szCs w:val="20"/>
                <w:color w:val="auto"/>
              </w:rPr>
            </w:pPr>
            <w:r>
              <w:rPr>
                <w:rFonts w:ascii="Arial" w:cs="Arial" w:eastAsia="Arial" w:hAnsi="Arial"/>
                <w:sz w:val="18"/>
                <w:szCs w:val="18"/>
                <w:color w:val="0000FF"/>
                <w:w w:val="88"/>
              </w:rPr>
              <w:t>2,175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5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0000FF"/>
                <w:w w:val="88"/>
              </w:rPr>
              <w:t>2,297</w:t>
            </w:r>
          </w:p>
        </w:tc>
        <w:tc>
          <w:tcPr>
            <w:tcW w:w="260" w:type="dxa"/>
            <w:vAlign w:val="bottom"/>
          </w:tcPr>
          <w:p>
            <w:pPr>
              <w:spacing w:after="0"/>
              <w:rPr>
                <w:sz w:val="23"/>
                <w:szCs w:val="23"/>
                <w:color w:val="auto"/>
              </w:rPr>
            </w:pPr>
          </w:p>
        </w:tc>
        <w:tc>
          <w:tcPr>
            <w:tcW w:w="660" w:type="dxa"/>
            <w:vAlign w:val="bottom"/>
          </w:tcPr>
          <w:p>
            <w:pPr>
              <w:jc w:val="center"/>
              <w:ind w:right="25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0000FF"/>
                <w:w w:val="86"/>
              </w:rPr>
              <w:t>408</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3"/>
          </w:tcPr>
          <w:p>
            <w:pPr>
              <w:ind w:left="20"/>
              <w:spacing w:after="0"/>
              <w:rPr>
                <w:sz w:val="20"/>
                <w:szCs w:val="20"/>
                <w:color w:val="auto"/>
              </w:rPr>
            </w:pPr>
            <w:r>
              <w:rPr>
                <w:rFonts w:ascii="Arial" w:cs="Arial" w:eastAsia="Arial" w:hAnsi="Arial"/>
                <w:sz w:val="14"/>
                <w:szCs w:val="14"/>
                <w:color w:val="008000"/>
                <w:w w:val="89"/>
              </w:rPr>
              <w:t>1. On February 26, 2104, the Reporting Person received a restricted share award of 650 Common Shares, which vests on January 1, 2017.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02/28/2014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2019-12-18T12:41:18Z</dcterms:created>
  <dcterms:modified xsi:type="dcterms:W3CDTF">2019-12-18T12:41:18Z</dcterms:modified>
</cp:coreProperties>
</file>