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6"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-641350</wp:posOffset>
            </wp:positionV>
            <wp:extent cx="59055" cy="654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68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-641350</wp:posOffset>
            </wp:positionV>
            <wp:extent cx="59055" cy="654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68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18415</wp:posOffset>
            </wp:positionV>
            <wp:extent cx="7324090" cy="5949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94931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Tolman Gary Charles</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right="160"/>
        <w:spacing w:after="0" w:line="286" w:lineRule="auto"/>
        <w:rPr>
          <w:sz w:val="20"/>
          <w:szCs w:val="20"/>
          <w:color w:val="auto"/>
        </w:rPr>
      </w:pPr>
      <w:r>
        <w:rPr>
          <w:rFonts w:ascii="Arial" w:cs="Arial" w:eastAsia="Arial" w:hAnsi="Arial"/>
          <w:sz w:val="17"/>
          <w:szCs w:val="17"/>
          <w:color w:val="0000FF"/>
        </w:rPr>
        <w:t>C/O WHITE MOUNTAINS INSURANCE GROUP, LTD</w:t>
      </w:r>
    </w:p>
    <w:p>
      <w:pPr>
        <w:spacing w:after="0" w:line="1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 SOUTH MAIN STREET</w:t>
      </w:r>
    </w:p>
    <w:p>
      <w:pPr>
        <w:spacing w:after="0" w:line="301"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2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4"/>
        </w:trPr>
        <w:tc>
          <w:tcPr>
            <w:tcW w:w="3980" w:type="dxa"/>
            <w:vAlign w:val="bottom"/>
            <w:gridSpan w:val="4"/>
            <w:vMerge w:val="restart"/>
          </w:tcPr>
          <w:p>
            <w:pPr>
              <w:ind w:left="60"/>
              <w:spacing w:after="0" w:line="21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980" w:type="dxa"/>
            <w:vAlign w:val="bottom"/>
            <w:gridSpan w:val="4"/>
            <w:vMerge w:val="continue"/>
          </w:tcPr>
          <w:p>
            <w:pPr>
              <w:spacing w:after="0"/>
              <w:rPr>
                <w:sz w:val="8"/>
                <w:szCs w:val="8"/>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2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2920" w:type="dxa"/>
            <w:vAlign w:val="bottom"/>
            <w:gridSpan w:val="2"/>
            <w:vMerge w:val="restart"/>
          </w:tcPr>
          <w:p>
            <w:pPr>
              <w:ind w:left="400"/>
              <w:spacing w:after="0"/>
              <w:rPr>
                <w:sz w:val="20"/>
                <w:szCs w:val="20"/>
                <w:color w:val="auto"/>
              </w:rPr>
            </w:pPr>
            <w:r>
              <w:rPr>
                <w:rFonts w:ascii="Arial" w:cs="Arial" w:eastAsia="Arial" w:hAnsi="Arial"/>
                <w:sz w:val="17"/>
                <w:szCs w:val="17"/>
                <w:color w:val="0000FF"/>
              </w:rPr>
              <w:t>Pres &amp; CEO - Esurance</w:t>
            </w:r>
          </w:p>
        </w:tc>
        <w:tc>
          <w:tcPr>
            <w:tcW w:w="0" w:type="dxa"/>
            <w:vAlign w:val="bottom"/>
          </w:tcPr>
          <w:p>
            <w:pPr>
              <w:spacing w:after="0"/>
              <w:rPr>
                <w:sz w:val="1"/>
                <w:szCs w:val="1"/>
                <w:color w:val="auto"/>
              </w:rPr>
            </w:pPr>
          </w:p>
        </w:tc>
      </w:tr>
      <w:tr>
        <w:trPr>
          <w:trHeight w:val="190"/>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20" w:type="dxa"/>
            <w:vAlign w:val="bottom"/>
            <w:gridSpan w:val="2"/>
          </w:tcPr>
          <w:p>
            <w:pPr>
              <w:ind w:left="60"/>
              <w:spacing w:after="0"/>
              <w:rPr>
                <w:sz w:val="20"/>
                <w:szCs w:val="20"/>
                <w:color w:val="auto"/>
              </w:rPr>
            </w:pPr>
            <w:r>
              <w:rPr>
                <w:rFonts w:ascii="Arial" w:cs="Arial" w:eastAsia="Arial" w:hAnsi="Arial"/>
                <w:sz w:val="17"/>
                <w:szCs w:val="17"/>
                <w:color w:val="0000FF"/>
              </w:rPr>
              <w:t>03/06/2007</w:t>
            </w:r>
          </w:p>
        </w:tc>
        <w:tc>
          <w:tcPr>
            <w:tcW w:w="2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Borders>
              <w:bottom w:val="single" w:sz="8" w:color="2C2C2C"/>
            </w:tcBorders>
          </w:tcPr>
          <w:p>
            <w:pPr>
              <w:spacing w:after="0"/>
              <w:rPr>
                <w:sz w:val="20"/>
                <w:szCs w:val="20"/>
                <w:color w:val="auto"/>
              </w:rPr>
            </w:pPr>
          </w:p>
        </w:tc>
        <w:tc>
          <w:tcPr>
            <w:tcW w:w="1160" w:type="dxa"/>
            <w:vAlign w:val="bottom"/>
            <w:tcBorders>
              <w:bottom w:val="single" w:sz="8" w:color="2C2C2C"/>
            </w:tcBorders>
          </w:tcPr>
          <w:p>
            <w:pPr>
              <w:spacing w:after="0"/>
              <w:rPr>
                <w:sz w:val="20"/>
                <w:szCs w:val="20"/>
                <w:color w:val="auto"/>
              </w:rPr>
            </w:pPr>
          </w:p>
        </w:tc>
        <w:tc>
          <w:tcPr>
            <w:tcW w:w="21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27"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95" w:lineRule="exact"/>
        <w:rPr>
          <w:sz w:val="20"/>
          <w:szCs w:val="20"/>
          <w:color w:val="auto"/>
        </w:rPr>
      </w:pPr>
    </w:p>
    <w:p>
      <w:pPr>
        <w:sectPr>
          <w:pgSz w:w="11900" w:h="16838" w:orient="portrait"/>
          <w:cols w:equalWidth="0" w:num="2">
            <w:col w:w="3900" w:space="10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60" w:type="dxa"/>
            <w:vAlign w:val="bottom"/>
          </w:tcPr>
          <w:p>
            <w:pPr>
              <w:spacing w:after="0"/>
              <w:rPr>
                <w:sz w:val="13"/>
                <w:szCs w:val="13"/>
                <w:color w:val="auto"/>
              </w:rPr>
            </w:pPr>
          </w:p>
        </w:tc>
        <w:tc>
          <w:tcPr>
            <w:tcW w:w="174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64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40" w:type="dxa"/>
            <w:vAlign w:val="bottom"/>
            <w:gridSpan w:val="2"/>
          </w:tcPr>
          <w:p>
            <w:pPr>
              <w:ind w:left="640"/>
              <w:spacing w:after="0" w:line="132"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2"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97"/>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8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840" w:type="dxa"/>
            <w:vAlign w:val="bottom"/>
            <w:gridSpan w:val="3"/>
          </w:tcPr>
          <w:p>
            <w:pPr>
              <w:ind w:left="60"/>
              <w:spacing w:after="0"/>
              <w:rPr>
                <w:sz w:val="20"/>
                <w:szCs w:val="20"/>
                <w:color w:val="auto"/>
              </w:rPr>
            </w:pPr>
            <w:r>
              <w:rPr>
                <w:rFonts w:ascii="Arial" w:cs="Arial" w:eastAsia="Arial" w:hAnsi="Arial"/>
                <w:sz w:val="17"/>
                <w:szCs w:val="17"/>
                <w:color w:val="0000FF"/>
              </w:rPr>
              <w:t>Common Shares (restricted)</w:t>
            </w:r>
          </w:p>
        </w:tc>
        <w:tc>
          <w:tcPr>
            <w:tcW w:w="1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91"/>
              </w:rPr>
              <w:t>720</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91"/>
              </w:rPr>
              <w:t>415</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gridSpan w:val="2"/>
          </w:tcPr>
          <w:p>
            <w:pPr>
              <w:jc w:val="center"/>
              <w:ind w:left="569"/>
              <w:spacing w:after="0"/>
              <w:rPr>
                <w:sz w:val="20"/>
                <w:szCs w:val="20"/>
                <w:color w:val="auto"/>
              </w:rPr>
            </w:pPr>
            <w:r>
              <w:rPr>
                <w:rFonts w:ascii="Arial" w:cs="Arial" w:eastAsia="Arial" w:hAnsi="Arial"/>
                <w:sz w:val="17"/>
                <w:szCs w:val="17"/>
                <w:color w:val="0000FF"/>
                <w:w w:val="84"/>
              </w:rPr>
              <w:t>2</w:t>
            </w: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son</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91"/>
              </w:rPr>
              <w:t>872</w:t>
            </w:r>
          </w:p>
        </w:tc>
        <w:tc>
          <w:tcPr>
            <w:tcW w:w="30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IRA</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7"/>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10"/>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60" w:type="dxa"/>
            <w:vAlign w:val="bottom"/>
          </w:tcPr>
          <w:p>
            <w:pPr>
              <w:ind w:left="20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96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960" w:type="dxa"/>
            <w:vAlign w:val="bottom"/>
            <w:vMerge w:val="restart"/>
          </w:tcPr>
          <w:p>
            <w:pPr>
              <w:ind w:left="460"/>
              <w:spacing w:after="0"/>
              <w:rPr>
                <w:sz w:val="20"/>
                <w:szCs w:val="20"/>
                <w:color w:val="auto"/>
              </w:rPr>
            </w:pPr>
            <w:r>
              <w:rPr>
                <w:rFonts w:ascii="Arial" w:cs="Arial" w:eastAsia="Arial" w:hAnsi="Arial"/>
                <w:sz w:val="11"/>
                <w:szCs w:val="11"/>
                <w:color w:val="008000"/>
              </w:rPr>
              <w:t>(1)</w:t>
            </w:r>
          </w:p>
        </w:tc>
        <w:tc>
          <w:tcPr>
            <w:tcW w:w="1060" w:type="dxa"/>
            <w:vAlign w:val="bottom"/>
            <w:vMerge w:val="restart"/>
          </w:tcPr>
          <w:p>
            <w:pPr>
              <w:ind w:left="220"/>
              <w:spacing w:after="0"/>
              <w:rPr>
                <w:sz w:val="20"/>
                <w:szCs w:val="20"/>
                <w:color w:val="auto"/>
              </w:rPr>
            </w:pPr>
            <w:r>
              <w:rPr>
                <w:rFonts w:ascii="Arial" w:cs="Arial" w:eastAsia="Arial" w:hAnsi="Arial"/>
                <w:sz w:val="13"/>
                <w:szCs w:val="13"/>
                <w:color w:val="0000FF"/>
              </w:rPr>
              <w:t>03/06/2007</w:t>
            </w:r>
          </w:p>
        </w:tc>
        <w:tc>
          <w:tcPr>
            <w:tcW w:w="1120" w:type="dxa"/>
            <w:vAlign w:val="bottom"/>
          </w:tcPr>
          <w:p>
            <w:pPr>
              <w:spacing w:after="0"/>
              <w:rPr>
                <w:sz w:val="12"/>
                <w:szCs w:val="12"/>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2"/>
                <w:szCs w:val="12"/>
                <w:color w:val="auto"/>
              </w:rPr>
            </w:pPr>
          </w:p>
        </w:tc>
        <w:tc>
          <w:tcPr>
            <w:tcW w:w="520" w:type="dxa"/>
            <w:vAlign w:val="bottom"/>
            <w:vMerge w:val="restart"/>
          </w:tcPr>
          <w:p>
            <w:pPr>
              <w:ind w:left="80"/>
              <w:spacing w:after="0" w:line="273" w:lineRule="exact"/>
              <w:rPr>
                <w:sz w:val="20"/>
                <w:szCs w:val="20"/>
                <w:color w:val="auto"/>
              </w:rPr>
            </w:pPr>
            <w:r>
              <w:rPr>
                <w:rFonts w:ascii="Arial" w:cs="Arial" w:eastAsia="Arial" w:hAnsi="Arial"/>
                <w:sz w:val="26"/>
                <w:szCs w:val="26"/>
                <w:color w:val="0000FF"/>
                <w:w w:val="99"/>
                <w:vertAlign w:val="subscript"/>
              </w:rPr>
              <w:t>370</w:t>
            </w:r>
            <w:r>
              <w:rPr>
                <w:rFonts w:ascii="Arial" w:cs="Arial" w:eastAsia="Arial" w:hAnsi="Arial"/>
                <w:sz w:val="11"/>
                <w:szCs w:val="11"/>
                <w:color w:val="008000"/>
                <w:w w:val="99"/>
              </w:rPr>
              <w:t>(2)</w:t>
            </w:r>
          </w:p>
        </w:tc>
        <w:tc>
          <w:tcPr>
            <w:tcW w:w="30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97"/>
              <w:spacing w:after="0"/>
              <w:rPr>
                <w:sz w:val="20"/>
                <w:szCs w:val="20"/>
                <w:color w:val="auto"/>
              </w:rPr>
            </w:pPr>
            <w:r>
              <w:rPr>
                <w:rFonts w:ascii="Arial" w:cs="Arial" w:eastAsia="Arial" w:hAnsi="Arial"/>
                <w:sz w:val="17"/>
                <w:szCs w:val="17"/>
                <w:color w:val="0000FF"/>
              </w:rPr>
              <w:t>370</w:t>
            </w: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600" w:type="dxa"/>
            <w:vAlign w:val="bottom"/>
            <w:vMerge w:val="restart"/>
          </w:tcPr>
          <w:p>
            <w:pPr>
              <w:ind w:left="340"/>
              <w:spacing w:after="0"/>
              <w:rPr>
                <w:sz w:val="20"/>
                <w:szCs w:val="20"/>
                <w:color w:val="auto"/>
              </w:rPr>
            </w:pPr>
            <w:r>
              <w:rPr>
                <w:rFonts w:ascii="Arial" w:cs="Arial" w:eastAsia="Arial" w:hAnsi="Arial"/>
                <w:sz w:val="13"/>
                <w:szCs w:val="13"/>
                <w:color w:val="0000FF"/>
              </w:rPr>
              <w:t>370</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(Deferred</w:t>
            </w:r>
          </w:p>
        </w:tc>
        <w:tc>
          <w:tcPr>
            <w:tcW w:w="9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 are convertible into Common Shares on a 1 for 1 basis.</w:t>
      </w:r>
    </w:p>
    <w:p>
      <w:pPr>
        <w:spacing w:after="0" w:line="48" w:lineRule="exact"/>
        <w:rPr>
          <w:rFonts w:ascii="Arial" w:cs="Arial" w:eastAsia="Arial" w:hAnsi="Arial"/>
          <w:sz w:val="13"/>
          <w:szCs w:val="13"/>
          <w:color w:val="008000"/>
        </w:rPr>
      </w:pPr>
    </w:p>
    <w:p>
      <w:pPr>
        <w:ind w:left="40" w:right="140" w:firstLine="5"/>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were acquired on March 6, 2007 in connection with the Reporting Person's election to defer receipt of an incentive compensation payment. Each Phantom Share was acquired at the fair value of a Common Share on the date of acquisition.</w:t>
      </w:r>
    </w:p>
    <w:p>
      <w:pPr>
        <w:spacing w:after="0" w:line="20" w:lineRule="exact"/>
        <w:rPr>
          <w:rFonts w:ascii="Arial" w:cs="Arial" w:eastAsia="Arial" w:hAnsi="Arial"/>
          <w:sz w:val="13"/>
          <w:szCs w:val="13"/>
          <w:color w:val="008000"/>
        </w:rPr>
      </w:pPr>
    </w:p>
    <w:p>
      <w:pPr>
        <w:ind w:left="40" w:right="240" w:firstLine="5"/>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held in a deferred compensation account and are payable in cash upon the earlier of the date when the Reporting Person ceases to be an employee of the Company or its subsidiaries or a date certain selected by the Reporting Person.</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26" w:lineRule="auto"/>
        <w:rPr>
          <w:sz w:val="20"/>
          <w:szCs w:val="20"/>
          <w:color w:val="auto"/>
        </w:rPr>
      </w:pPr>
      <w:r>
        <w:rPr>
          <w:rFonts w:ascii="Arial" w:cs="Arial" w:eastAsia="Arial" w:hAnsi="Arial"/>
          <w:sz w:val="17"/>
          <w:szCs w:val="17"/>
          <w:color w:val="0000FF"/>
        </w:rPr>
        <w:t xml:space="preserve">Jason R. Lichtenstein, by Power </w:t>
      </w:r>
      <w:r>
        <w:rPr>
          <w:rFonts w:ascii="Arial" w:cs="Arial" w:eastAsia="Arial" w:hAnsi="Arial"/>
          <w:sz w:val="34"/>
          <w:szCs w:val="34"/>
          <w:color w:val="0000FF"/>
          <w:vertAlign w:val="subscript"/>
        </w:rPr>
        <w:t>02/26/2010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-27940</wp:posOffset>
            </wp:positionV>
            <wp:extent cx="1405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-17780</wp:posOffset>
            </wp:positionV>
            <wp:extent cx="5060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6095"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-85090</wp:posOffset>
            </wp:positionV>
            <wp:extent cx="4965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6570" cy="8255"/>
                    </a:xfrm>
                    <a:prstGeom prst="rect">
                      <a:avLst/>
                    </a:prstGeom>
                    <a:noFill/>
                  </pic:spPr>
                </pic:pic>
              </a:graphicData>
            </a:graphic>
          </wp:anchor>
        </w:drawing>
      </w:r>
    </w:p>
    <w:p>
      <w:pPr>
        <w:spacing w:after="0" w:line="43"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5"/>
        <w:spacing w:after="0" w:line="316"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ind w:right="4139"/>
        <w:spacing w:after="0" w:line="24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ind w:right="3919" w:firstLine="6"/>
        <w:spacing w:after="0" w:line="247" w:lineRule="auto"/>
        <w:tabs>
          <w:tab w:leader="none" w:pos="4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819" w:firstLine="6"/>
        <w:spacing w:after="0" w:line="247" w:lineRule="auto"/>
        <w:tabs>
          <w:tab w:leader="none" w:pos="4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right="34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4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403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right="495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19th day of June 2008.</w:t>
      </w:r>
    </w:p>
    <w:p>
      <w:pPr>
        <w:spacing w:after="0" w:line="20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Gary C. Tolman</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2426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2019-12-18T13:36:17Z</dcterms:created>
  <dcterms:modified xsi:type="dcterms:W3CDTF">2019-12-18T13:36:17Z</dcterms:modified>
</cp:coreProperties>
</file>