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8" w:lineRule="exact"/>
              <w:rPr>
                <w:sz w:val="20"/>
                <w:szCs w:val="20"/>
                <w:color w:val="auto"/>
              </w:rPr>
            </w:pPr>
            <w:r>
              <w:rPr>
                <w:rFonts w:ascii="Arial" w:cs="Arial" w:eastAsia="Arial" w:hAnsi="Arial"/>
                <w:sz w:val="18"/>
                <w:szCs w:val="18"/>
                <w:color w:val="0000FF"/>
              </w:rPr>
              <w:t>CEO - Sirius Int'l Ins. Group</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02/27/2013</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02/27/2013</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1,335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4,470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6,015</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7,820</w:t>
            </w:r>
          </w:p>
        </w:tc>
        <w:tc>
          <w:tcPr>
            <w:tcW w:w="260" w:type="dxa"/>
            <w:vAlign w:val="bottom"/>
          </w:tcPr>
          <w:p>
            <w:pPr>
              <w:spacing w:after="0"/>
              <w:rPr>
                <w:sz w:val="18"/>
                <w:szCs w:val="18"/>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0000FF"/>
                <w:w w:val="86"/>
              </w:rPr>
              <w:t>300</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27, 2013, the Reporting Person received a restricted share award of 1,335 Common Shares which vest on January 1, 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03/01/2013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2019-12-18T13:31:02Z</dcterms:created>
  <dcterms:modified xsi:type="dcterms:W3CDTF">2019-12-18T13:31:02Z</dcterms:modified>
</cp:coreProperties>
</file>