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Linker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01/01/2017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763"/>
        <w:spacing w:after="0"/>
        <w:rPr>
          <w:sz w:val="20"/>
          <w:szCs w:val="20"/>
          <w:color w:val="auto"/>
        </w:rPr>
      </w:pPr>
      <w:r>
        <w:rPr>
          <w:rFonts w:ascii="Arial" w:cs="Arial" w:eastAsia="Arial" w:hAnsi="Arial"/>
          <w:sz w:val="18"/>
          <w:szCs w:val="18"/>
          <w:color w:val="0000FF"/>
        </w:rPr>
        <w:t>Chief Investment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01/01/2017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360</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836.05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1,428</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3,225</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vMerge w:val="restart"/>
          </w:tcPr>
          <w:p>
            <w:pPr>
              <w:jc w:val="center"/>
              <w:ind w:right="457"/>
              <w:spacing w:after="0"/>
              <w:rPr>
                <w:sz w:val="20"/>
                <w:szCs w:val="20"/>
                <w:color w:val="auto"/>
              </w:rPr>
            </w:pPr>
            <w:r>
              <w:rPr>
                <w:rFonts w:ascii="Arial" w:cs="Arial" w:eastAsia="Arial" w:hAnsi="Arial"/>
                <w:sz w:val="18"/>
                <w:szCs w:val="18"/>
                <w:color w:val="0000FF"/>
                <w:w w:val="89"/>
              </w:rPr>
              <w:t>15</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3340" w:type="dxa"/>
            <w:vAlign w:val="bottom"/>
            <w:tcBorders>
              <w:bottom w:val="single" w:sz="8" w:color="2C2C2C"/>
            </w:tcBorders>
            <w:gridSpan w:val="7"/>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 January 1, 2017, 1,025 restricted WTM Common Shares became unrestricted. 360 of the Common Shares were withheld by the Company to satisfy the Reporting Person's tax obligations.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w w:val="96"/>
              </w:rPr>
              <w:t>Wesley C. Bell by Power of</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7" w:lineRule="exact"/>
        <w:rPr>
          <w:sz w:val="20"/>
          <w:szCs w:val="20"/>
          <w:color w:val="auto"/>
        </w:rPr>
      </w:pPr>
    </w:p>
    <w:p>
      <w:pPr>
        <w:ind w:right="1999"/>
        <w:spacing w:after="0" w:line="470" w:lineRule="auto"/>
        <w:rPr>
          <w:sz w:val="20"/>
          <w:szCs w:val="20"/>
          <w:color w:val="auto"/>
        </w:rPr>
      </w:pPr>
      <w:r>
        <w:rPr>
          <w:rFonts w:ascii="Courier New" w:cs="Courier New" w:eastAsia="Courier New" w:hAnsi="Courier New"/>
          <w:sz w:val="18"/>
          <w:szCs w:val="18"/>
          <w:color w:val="auto"/>
        </w:rPr>
        <w:t>constitutes and appoints each of Robert L. Seelig, Managing Director &amp; General Counsel, and Jennifer L. Pitts, Secretary, of White</w:t>
      </w:r>
    </w:p>
    <w:p>
      <w:pPr>
        <w:spacing w:after="0" w:line="12"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Mountains Insurance Group, Ltd., Jason R. Lichtenstein, Managing Director &amp; Associate General Counsel, and Wesley Bell, Vice President and Assistant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David Linker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811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2019-12-24T09:20:47Z</dcterms:created>
  <dcterms:modified xsi:type="dcterms:W3CDTF">2019-12-24T09:20:47Z</dcterms:modified>
</cp:coreProperties>
</file>