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60" w:type="dxa"/>
            <w:vAlign w:val="bottom"/>
          </w:tcPr>
          <w:p>
            <w:pPr>
              <w:jc w:val="center"/>
              <w:ind w:right="2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55"/>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6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17145</wp:posOffset>
            </wp:positionV>
            <wp:extent cx="7325360" cy="7359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7359650"/>
                    </a:xfrm>
                    <a:prstGeom prst="rect">
                      <a:avLst/>
                    </a:prstGeom>
                    <a:noFill/>
                  </pic:spPr>
                </pic:pic>
              </a:graphicData>
            </a:graphic>
          </wp:anchor>
        </w:drawing>
      </w:r>
    </w:p>
    <w:p>
      <w:pPr>
        <w:spacing w:after="0" w:line="97" w:lineRule="exact"/>
        <w:rPr>
          <w:sz w:val="24"/>
          <w:szCs w:val="24"/>
          <w:color w:val="auto"/>
        </w:rPr>
      </w:pPr>
    </w:p>
    <w:p>
      <w:pPr>
        <w:sectPr>
          <w:pgSz w:w="11900" w:h="16893" w:orient="portrait"/>
          <w:cols w:equalWidth="0" w:num="2">
            <w:col w:w="2280" w:space="460"/>
            <w:col w:w="8780"/>
          </w:cols>
          <w:pgMar w:left="240" w:top="222" w:right="13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BARRETTE RAYMOND JOSEPH RENE</w:t>
        </w:r>
      </w:hyperlink>
    </w:p>
    <w:p>
      <w:pPr>
        <w:spacing w:after="0" w:line="32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240"/>
        <w:spacing w:after="0" w:line="344" w:lineRule="auto"/>
        <w:rPr>
          <w:sz w:val="20"/>
          <w:szCs w:val="20"/>
          <w:color w:val="auto"/>
        </w:rPr>
      </w:pPr>
      <w:r>
        <w:rPr>
          <w:rFonts w:ascii="Arial" w:cs="Arial" w:eastAsia="Arial" w:hAnsi="Arial"/>
          <w:sz w:val="17"/>
          <w:szCs w:val="17"/>
          <w:color w:val="0000FF"/>
        </w:rPr>
        <w:t>C/O WHITE MOUNTAINS INSURANCE GROUP 80 SOUTH MAIN STREET</w:t>
      </w:r>
    </w:p>
    <w:p>
      <w:pPr>
        <w:spacing w:after="0" w:line="19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2"/>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6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6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3960" w:type="dxa"/>
            <w:vAlign w:val="bottom"/>
            <w:gridSpan w:val="4"/>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20" w:type="dxa"/>
            <w:vAlign w:val="bottom"/>
          </w:tcPr>
          <w:p>
            <w:pPr>
              <w:spacing w:after="0"/>
              <w:rPr>
                <w:sz w:val="3"/>
                <w:szCs w:val="3"/>
                <w:color w:val="auto"/>
              </w:rPr>
            </w:pP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3960" w:type="dxa"/>
            <w:vAlign w:val="bottom"/>
            <w:gridSpan w:val="4"/>
            <w:vMerge w:val="restart"/>
          </w:tcPr>
          <w:p>
            <w:pPr>
              <w:ind w:left="60"/>
              <w:spacing w:after="0" w:line="215"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396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20" w:type="dxa"/>
            <w:vAlign w:val="bottom"/>
          </w:tcPr>
          <w:p>
            <w:pPr>
              <w:spacing w:after="0"/>
              <w:rPr>
                <w:sz w:val="5"/>
                <w:szCs w:val="5"/>
                <w:color w:val="auto"/>
              </w:rPr>
            </w:pP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1140" w:type="dxa"/>
            <w:vAlign w:val="bottom"/>
            <w:tcBorders>
              <w:top w:val="single" w:sz="8" w:color="0000EE"/>
            </w:tcBorders>
          </w:tcPr>
          <w:p>
            <w:pPr>
              <w:spacing w:after="0"/>
              <w:rPr>
                <w:sz w:val="11"/>
                <w:szCs w:val="11"/>
                <w:color w:val="auto"/>
              </w:rPr>
            </w:pPr>
          </w:p>
        </w:tc>
        <w:tc>
          <w:tcPr>
            <w:tcW w:w="2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1"/>
                <w:szCs w:val="11"/>
                <w:color w:val="auto"/>
              </w:rPr>
            </w:pPr>
          </w:p>
        </w:tc>
        <w:tc>
          <w:tcPr>
            <w:tcW w:w="42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20" w:type="dxa"/>
            <w:vAlign w:val="bottom"/>
            <w:vMerge w:val="continue"/>
          </w:tcPr>
          <w:p>
            <w:pPr>
              <w:spacing w:after="0"/>
              <w:rPr>
                <w:sz w:val="8"/>
                <w:szCs w:val="8"/>
                <w:color w:val="auto"/>
              </w:rPr>
            </w:pP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46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Chief Executive Officer </w:t>
            </w:r>
            <w:r>
              <w:rPr>
                <w:rFonts w:ascii="Arial" w:cs="Arial" w:eastAsia="Arial" w:hAnsi="Arial"/>
                <w:sz w:val="20"/>
                <w:szCs w:val="20"/>
                <w:color w:val="000000"/>
              </w:rPr>
              <w:t>/</w:t>
            </w:r>
            <w:r>
              <w:rPr>
                <w:rFonts w:ascii="Arial" w:cs="Arial" w:eastAsia="Arial" w:hAnsi="Arial"/>
                <w:sz w:val="17"/>
                <w:szCs w:val="17"/>
                <w:color w:val="0000FF"/>
              </w:rPr>
              <w:t xml:space="preserve"> Chairman of the</w:t>
            </w:r>
          </w:p>
        </w:tc>
        <w:tc>
          <w:tcPr>
            <w:tcW w:w="0" w:type="dxa"/>
            <w:vAlign w:val="bottom"/>
          </w:tcPr>
          <w:p>
            <w:pPr>
              <w:spacing w:after="0"/>
              <w:rPr>
                <w:sz w:val="1"/>
                <w:szCs w:val="1"/>
                <w:color w:val="auto"/>
              </w:rPr>
            </w:pPr>
          </w:p>
        </w:tc>
      </w:tr>
      <w:tr>
        <w:trPr>
          <w:trHeight w:val="169"/>
        </w:trPr>
        <w:tc>
          <w:tcPr>
            <w:tcW w:w="396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4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200" w:type="dxa"/>
            <w:vAlign w:val="bottom"/>
            <w:gridSpan w:val="2"/>
          </w:tcPr>
          <w:p>
            <w:pPr>
              <w:ind w:left="60"/>
              <w:spacing w:after="0"/>
              <w:rPr>
                <w:sz w:val="20"/>
                <w:szCs w:val="20"/>
                <w:color w:val="auto"/>
              </w:rPr>
            </w:pPr>
            <w:r>
              <w:rPr>
                <w:rFonts w:ascii="Arial" w:cs="Arial" w:eastAsia="Arial" w:hAnsi="Arial"/>
                <w:sz w:val="17"/>
                <w:szCs w:val="17"/>
                <w:color w:val="0000FF"/>
              </w:rPr>
              <w:t>03/04/2008</w:t>
            </w:r>
          </w:p>
        </w:tc>
        <w:tc>
          <w:tcPr>
            <w:tcW w:w="2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gridSpan w:val="2"/>
          </w:tcPr>
          <w:p>
            <w:pPr>
              <w:ind w:left="1000"/>
              <w:spacing w:after="0"/>
              <w:rPr>
                <w:sz w:val="20"/>
                <w:szCs w:val="20"/>
                <w:color w:val="auto"/>
              </w:rPr>
            </w:pPr>
            <w:r>
              <w:rPr>
                <w:rFonts w:ascii="Arial" w:cs="Arial" w:eastAsia="Arial" w:hAnsi="Arial"/>
                <w:sz w:val="17"/>
                <w:szCs w:val="17"/>
                <w:color w:val="0000FF"/>
              </w:rPr>
              <w:t>Board</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20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3460" w:type="dxa"/>
            <w:vAlign w:val="bottom"/>
            <w:tcBorders>
              <w:bottom w:val="single" w:sz="8" w:color="2C2C2C"/>
            </w:tcBorders>
            <w:gridSpan w:val="4"/>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96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6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auto"/>
              </w:rPr>
              <w:t>Line)</w:t>
            </w:r>
          </w:p>
        </w:tc>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240"/>
        <w:spacing w:after="0" w:line="214"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 Person</w:t>
      </w:r>
    </w:p>
    <w:p>
      <w:pPr>
        <w:spacing w:after="0" w:line="290" w:lineRule="exact"/>
        <w:rPr>
          <w:sz w:val="20"/>
          <w:szCs w:val="20"/>
          <w:color w:val="auto"/>
        </w:rPr>
      </w:pPr>
    </w:p>
    <w:p>
      <w:pPr>
        <w:sectPr>
          <w:pgSz w:w="11900" w:h="16893" w:orient="portrait"/>
          <w:cols w:equalWidth="0" w:num="2">
            <w:col w:w="3900" w:space="100"/>
            <w:col w:w="7520"/>
          </w:cols>
          <w:pgMar w:left="240" w:top="222"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6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40" w:type="dxa"/>
            <w:vAlign w:val="bottom"/>
          </w:tcPr>
          <w:p>
            <w:pPr>
              <w:spacing w:after="0"/>
              <w:rPr>
                <w:sz w:val="13"/>
                <w:szCs w:val="13"/>
                <w:color w:val="auto"/>
              </w:rPr>
            </w:pP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03/04/2008</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21,136</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133"/>
              <w:spacing w:after="0"/>
              <w:rPr>
                <w:sz w:val="20"/>
                <w:szCs w:val="20"/>
                <w:color w:val="auto"/>
              </w:rPr>
            </w:pPr>
            <w:r>
              <w:rPr>
                <w:rFonts w:ascii="Arial" w:cs="Arial" w:eastAsia="Arial" w:hAnsi="Arial"/>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83"/>
              </w:rPr>
              <w:t>34,970</w:t>
            </w:r>
            <w:r>
              <w:rPr>
                <w:rFonts w:ascii="Arial" w:cs="Arial" w:eastAsia="Arial" w:hAnsi="Arial"/>
                <w:sz w:val="21"/>
                <w:szCs w:val="21"/>
                <w:color w:val="008000"/>
                <w:w w:val="83"/>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03/04/2008</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6,136</w:t>
            </w:r>
            <w:r>
              <w:rPr>
                <w:rFonts w:ascii="Arial" w:cs="Arial" w:eastAsia="Arial" w:hAnsi="Arial"/>
                <w:sz w:val="21"/>
                <w:szCs w:val="21"/>
                <w:color w:val="008000"/>
                <w:vertAlign w:val="superscript"/>
              </w:rPr>
              <w:t>(1)</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478</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88"/>
              </w:rPr>
              <w:t>28,834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8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83"/>
              </w:rPr>
              <w:t>43,000</w:t>
            </w:r>
            <w:r>
              <w:rPr>
                <w:rFonts w:ascii="Arial" w:cs="Arial" w:eastAsia="Arial" w:hAnsi="Arial"/>
                <w:sz w:val="21"/>
                <w:szCs w:val="21"/>
                <w:color w:val="008000"/>
                <w:w w:val="83"/>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7"/>
                <w:szCs w:val="17"/>
                <w:color w:val="0000FF"/>
                <w:w w:val="89"/>
              </w:rPr>
              <w:t>4,615</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7"/>
                <w:szCs w:val="17"/>
                <w:color w:val="0000FF"/>
                <w:w w:val="91"/>
              </w:rPr>
              <w:t>100</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7"/>
                <w:szCs w:val="17"/>
                <w:color w:val="0000FF"/>
                <w:w w:val="89"/>
              </w:rPr>
              <w:t>9,000</w:t>
            </w:r>
          </w:p>
        </w:tc>
        <w:tc>
          <w:tcPr>
            <w:tcW w:w="30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7"/>
                <w:szCs w:val="17"/>
                <w:color w:val="0000FF"/>
                <w:w w:val="89"/>
              </w:rPr>
              <w:t>4,230</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7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2"/>
            <w:vMerge w:val="restart"/>
          </w:tcPr>
          <w:p>
            <w:pPr>
              <w:jc w:val="center"/>
              <w:ind w:right="20"/>
              <w:spacing w:after="0"/>
              <w:rPr>
                <w:sz w:val="20"/>
                <w:szCs w:val="20"/>
                <w:color w:val="auto"/>
              </w:rPr>
            </w:pPr>
            <w:r>
              <w:rPr>
                <w:rFonts w:ascii="Arial" w:cs="Arial" w:eastAsia="Arial" w:hAnsi="Arial"/>
                <w:sz w:val="33"/>
                <w:szCs w:val="33"/>
                <w:color w:val="0000FF"/>
                <w:w w:val="79"/>
                <w:vertAlign w:val="subscript"/>
              </w:rPr>
              <w:t>51</w:t>
            </w:r>
            <w:r>
              <w:rPr>
                <w:rFonts w:ascii="Arial" w:cs="Arial" w:eastAsia="Arial" w:hAnsi="Arial"/>
                <w:sz w:val="11"/>
                <w:szCs w:val="11"/>
                <w:color w:val="008000"/>
                <w:w w:val="79"/>
              </w:rPr>
              <w:t>(3)</w:t>
            </w:r>
          </w:p>
        </w:tc>
        <w:tc>
          <w:tcPr>
            <w:tcW w:w="30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340" w:type="dxa"/>
            <w:vAlign w:val="bottom"/>
            <w:tcBorders>
              <w:top w:val="single" w:sz="8" w:color="2C2C2C"/>
            </w:tcBorders>
            <w:gridSpan w:val="12"/>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940" w:type="dxa"/>
            <w:vAlign w:val="bottom"/>
          </w:tcPr>
          <w:p>
            <w:pPr>
              <w:ind w:left="60"/>
              <w:spacing w:after="0" w:line="144" w:lineRule="exact"/>
              <w:rPr>
                <w:sz w:val="20"/>
                <w:szCs w:val="20"/>
                <w:color w:val="auto"/>
              </w:rPr>
            </w:pPr>
            <w:r>
              <w:rPr>
                <w:rFonts w:ascii="Arial" w:cs="Arial" w:eastAsia="Arial" w:hAnsi="Arial"/>
                <w:sz w:val="13"/>
                <w:szCs w:val="13"/>
                <w:color w:val="0000FF"/>
              </w:rPr>
              <w:t>Shares</w:t>
            </w:r>
          </w:p>
        </w:tc>
        <w:tc>
          <w:tcPr>
            <w:tcW w:w="820" w:type="dxa"/>
            <w:vAlign w:val="bottom"/>
            <w:vMerge w:val="restart"/>
          </w:tcPr>
          <w:p>
            <w:pPr>
              <w:jc w:val="right"/>
              <w:ind w:right="302"/>
              <w:spacing w:after="0"/>
              <w:rPr>
                <w:sz w:val="20"/>
                <w:szCs w:val="20"/>
                <w:color w:val="auto"/>
              </w:rPr>
            </w:pPr>
            <w:r>
              <w:rPr>
                <w:rFonts w:ascii="Arial" w:cs="Arial" w:eastAsia="Arial" w:hAnsi="Arial"/>
                <w:sz w:val="11"/>
                <w:szCs w:val="11"/>
                <w:color w:val="008000"/>
              </w:rPr>
              <w:t>(4)</w:t>
            </w:r>
          </w:p>
        </w:tc>
        <w:tc>
          <w:tcPr>
            <w:tcW w:w="1040" w:type="dxa"/>
            <w:vAlign w:val="bottom"/>
            <w:vMerge w:val="restart"/>
          </w:tcPr>
          <w:p>
            <w:pPr>
              <w:ind w:left="200"/>
              <w:spacing w:after="0"/>
              <w:rPr>
                <w:sz w:val="20"/>
                <w:szCs w:val="20"/>
                <w:color w:val="auto"/>
              </w:rPr>
            </w:pPr>
            <w:r>
              <w:rPr>
                <w:rFonts w:ascii="Arial" w:cs="Arial" w:eastAsia="Arial" w:hAnsi="Arial"/>
                <w:sz w:val="13"/>
                <w:szCs w:val="13"/>
                <w:color w:val="0000FF"/>
              </w:rPr>
              <w:t>03/04/2008</w:t>
            </w:r>
          </w:p>
        </w:tc>
        <w:tc>
          <w:tcPr>
            <w:tcW w:w="1100" w:type="dxa"/>
            <w:vAlign w:val="bottom"/>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60" w:type="dxa"/>
            <w:vAlign w:val="bottom"/>
            <w:vMerge w:val="restart"/>
          </w:tcPr>
          <w:p>
            <w:pPr>
              <w:ind w:left="380"/>
              <w:spacing w:after="0"/>
              <w:rPr>
                <w:sz w:val="20"/>
                <w:szCs w:val="20"/>
                <w:color w:val="auto"/>
              </w:rPr>
            </w:pPr>
            <w:r>
              <w:rPr>
                <w:rFonts w:ascii="Arial" w:cs="Arial" w:eastAsia="Arial" w:hAnsi="Arial"/>
                <w:sz w:val="13"/>
                <w:szCs w:val="13"/>
                <w:color w:val="0000FF"/>
              </w:rPr>
              <w:t>21,136</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right"/>
              <w:ind w:right="295"/>
              <w:spacing w:after="0"/>
              <w:rPr>
                <w:sz w:val="20"/>
                <w:szCs w:val="20"/>
                <w:color w:val="auto"/>
              </w:rPr>
            </w:pPr>
            <w:r>
              <w:rPr>
                <w:rFonts w:ascii="Arial" w:cs="Arial" w:eastAsia="Arial" w:hAnsi="Arial"/>
                <w:sz w:val="11"/>
                <w:szCs w:val="11"/>
                <w:color w:val="008000"/>
              </w:rPr>
              <w:t>(5)</w:t>
            </w:r>
          </w:p>
        </w:tc>
        <w:tc>
          <w:tcPr>
            <w:tcW w:w="640" w:type="dxa"/>
            <w:vAlign w:val="bottom"/>
          </w:tcPr>
          <w:p>
            <w:pPr>
              <w:ind w:left="20"/>
              <w:spacing w:after="0" w:line="144"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ind w:right="33"/>
              <w:spacing w:after="0"/>
              <w:rPr>
                <w:sz w:val="20"/>
                <w:szCs w:val="20"/>
                <w:color w:val="auto"/>
              </w:rPr>
            </w:pPr>
            <w:r>
              <w:rPr>
                <w:rFonts w:ascii="Arial" w:cs="Arial" w:eastAsia="Arial" w:hAnsi="Arial"/>
                <w:sz w:val="17"/>
                <w:szCs w:val="17"/>
                <w:color w:val="0000FF"/>
                <w:w w:val="96"/>
              </w:rPr>
              <w:t>21,136</w:t>
            </w:r>
          </w:p>
        </w:tc>
        <w:tc>
          <w:tcPr>
            <w:tcW w:w="80" w:type="dxa"/>
            <w:vAlign w:val="bottom"/>
          </w:tcPr>
          <w:p>
            <w:pPr>
              <w:spacing w:after="0"/>
              <w:rPr>
                <w:sz w:val="12"/>
                <w:szCs w:val="12"/>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color w:val="008000"/>
              </w:rPr>
              <w:t>(1)</w:t>
            </w:r>
          </w:p>
        </w:tc>
        <w:tc>
          <w:tcPr>
            <w:tcW w:w="600" w:type="dxa"/>
            <w:vAlign w:val="bottom"/>
            <w:vMerge w:val="restart"/>
          </w:tcPr>
          <w:p>
            <w:pPr>
              <w:jc w:val="right"/>
              <w:ind w:right="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(Deferred</w:t>
            </w:r>
          </w:p>
        </w:tc>
        <w:tc>
          <w:tcPr>
            <w:tcW w:w="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Shares</w:t>
            </w: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Common</w:t>
            </w:r>
          </w:p>
        </w:tc>
        <w:tc>
          <w:tcPr>
            <w:tcW w:w="820" w:type="dxa"/>
            <w:vAlign w:val="bottom"/>
          </w:tcPr>
          <w:p>
            <w:pPr>
              <w:jc w:val="center"/>
              <w:ind w:right="162"/>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650</w:t>
            </w:r>
            <w:r>
              <w:rPr>
                <w:rFonts w:ascii="Arial" w:cs="Arial" w:eastAsia="Arial" w:hAnsi="Arial"/>
                <w:sz w:val="21"/>
                <w:szCs w:val="21"/>
                <w:color w:val="008000"/>
                <w:vertAlign w:val="superscript"/>
              </w:rPr>
              <w:t>(6)</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(7)</w:t>
            </w:r>
          </w:p>
        </w:tc>
        <w:tc>
          <w:tcPr>
            <w:tcW w:w="740" w:type="dxa"/>
            <w:vAlign w:val="bottom"/>
          </w:tcPr>
          <w:p>
            <w:pPr>
              <w:jc w:val="right"/>
              <w:ind w:right="55"/>
              <w:spacing w:after="0"/>
              <w:rPr>
                <w:sz w:val="20"/>
                <w:szCs w:val="20"/>
                <w:color w:val="auto"/>
              </w:rPr>
            </w:pPr>
            <w:r>
              <w:rPr>
                <w:rFonts w:ascii="Arial" w:cs="Arial" w:eastAsia="Arial" w:hAnsi="Arial"/>
                <w:sz w:val="13"/>
                <w:szCs w:val="13"/>
                <w:color w:val="0000FF"/>
                <w:w w:val="92"/>
              </w:rPr>
              <w:t>01/19/2014</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620" w:type="dxa"/>
            <w:vAlign w:val="bottom"/>
          </w:tcPr>
          <w:p>
            <w:pPr>
              <w:jc w:val="right"/>
              <w:spacing w:after="0"/>
              <w:rPr>
                <w:sz w:val="20"/>
                <w:szCs w:val="20"/>
                <w:color w:val="auto"/>
              </w:rPr>
            </w:pPr>
            <w:r>
              <w:rPr>
                <w:rFonts w:ascii="Arial" w:cs="Arial" w:eastAsia="Arial" w:hAnsi="Arial"/>
                <w:sz w:val="17"/>
                <w:szCs w:val="17"/>
                <w:color w:val="0000FF"/>
                <w:w w:val="87"/>
              </w:rPr>
              <w:t>200,000</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3"/>
                <w:szCs w:val="13"/>
                <w:color w:val="0000FF"/>
              </w:rPr>
              <w:t>200,000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 Options</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rPr>
              <w:t>Shares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180" w:firstLine="3"/>
        <w:spacing w:after="0" w:line="294"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4, 2008, 15,000 of the Reporting Person's Phantom Shares were settled for an equal number of WTM Common Shares and the remaining 6,136 Phantom Shares were settled for cash. Each Phantom Share was the economic equivalent of one WTM Common Share. The Reporting Person has agreed not to transfer the Common Shares received in the distribution until the second anniversary of the distribution.</w:t>
      </w: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reclassification of 7,000 WTM Common Shares from "Common Shares (restricted)" to unrestricted "Common Shares" (owned directly).</w:t>
      </w:r>
    </w:p>
    <w:p>
      <w:pPr>
        <w:spacing w:after="0" w:line="46" w:lineRule="exact"/>
        <w:rPr>
          <w:rFonts w:ascii="Arial" w:cs="Arial" w:eastAsia="Arial" w:hAnsi="Arial"/>
          <w:sz w:val="13"/>
          <w:szCs w:val="13"/>
          <w:color w:val="008000"/>
        </w:rPr>
      </w:pPr>
    </w:p>
    <w:p>
      <w:pPr>
        <w:ind w:left="40" w:right="56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the date of his last filing, the Reporting Person acquired 14 WTM Common Shares in his 401(k) account. WTM Common Shares are purchased at their fair market value on the date of acquisition. This information in this reports is based on a plan statement dated February 29, 2008.</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Phantom Share is the economic equivalent of one WTM Common Share.</w:t>
      </w:r>
    </w:p>
    <w:p>
      <w:pPr>
        <w:spacing w:after="0" w:line="46" w:lineRule="exact"/>
        <w:rPr>
          <w:rFonts w:ascii="Arial" w:cs="Arial" w:eastAsia="Arial" w:hAnsi="Arial"/>
          <w:sz w:val="13"/>
          <w:szCs w:val="13"/>
          <w:color w:val="008000"/>
        </w:rPr>
      </w:pPr>
    </w:p>
    <w:p>
      <w:pPr>
        <w:ind w:left="40" w:right="180" w:firstLine="3"/>
        <w:spacing w:after="0" w:line="238"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connection with a previously made election in accordance with Section 409A of the federal tax code, the Reporting Person was due a distribution of his deferred compensation account balances in the first quarter of 2008. At the request of the Reporting Person, and as permitted by the plan governing the Reporting Person's deferred compensation, the Compensation Committee of WTM determined to settle a portion of the account in WTM Common Shares and the remainder in cash. The amount of the distribution made in Common Shares was roughly equal to the after-tax value of the Phantom Shares contained in the Reporting Person's account.</w:t>
      </w:r>
    </w:p>
    <w:p>
      <w:pPr>
        <w:spacing w:after="0" w:line="32"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January 20, 2007, the Reporting Person was granted options to purchase 200,000 Common Shares with an initial exercise price of $650 per share. The exercise price increases on a cumulative basis at an annual rate of 5% less the annualized regular dividend rate.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options vest in five equal annual installments beginning January 19, 2008.</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Jason R. Lichtenstein, by Power  03/06/2008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-10160</wp:posOffset>
            </wp:positionV>
            <wp:extent cx="19469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4691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-14605</wp:posOffset>
            </wp:positionV>
            <wp:extent cx="499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ectPr>
          <w:pgSz w:w="11900" w:h="16893" w:orient="portrait"/>
          <w:cols w:equalWidth="0" w:num="1">
            <w:col w:w="11520"/>
          </w:cols>
          <w:pgMar w:left="240" w:top="222"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659" w:firstLine="3"/>
        <w:spacing w:after="0" w:line="312"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79"/>
          </w:cols>
          <w:pgMar w:left="280" w:top="191" w:right="1440" w:bottom="1440" w:gutter="0" w:footer="0" w:header="0"/>
        </w:sectPr>
      </w:pPr>
    </w:p>
    <w:bookmarkStart w:id="2" w:name="page3"/>
    <w:bookmarkEnd w:id="2"/>
    <w:p>
      <w:pPr>
        <w:ind w:right="4219"/>
        <w:spacing w:after="0" w:line="25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3" w:lineRule="exact"/>
        <w:rPr>
          <w:sz w:val="20"/>
          <w:szCs w:val="20"/>
          <w:color w:val="auto"/>
        </w:rPr>
      </w:pPr>
    </w:p>
    <w:p>
      <w:pPr>
        <w:ind w:right="4419"/>
        <w:spacing w:after="0" w:line="242"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spacing w:after="0" w:line="4" w:lineRule="exact"/>
        <w:rPr>
          <w:sz w:val="20"/>
          <w:szCs w:val="20"/>
          <w:color w:val="auto"/>
        </w:rPr>
      </w:pPr>
    </w:p>
    <w:p>
      <w:pPr>
        <w:ind w:right="4019" w:firstLine="4"/>
        <w:spacing w:after="0" w:line="243" w:lineRule="auto"/>
        <w:tabs>
          <w:tab w:leader="none" w:pos="40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919" w:firstLine="4"/>
        <w:spacing w:after="0" w:line="243" w:lineRule="auto"/>
        <w:tabs>
          <w:tab w:leader="none" w:pos="40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49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399"/>
        <w:spacing w:after="0" w:line="258"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4" w:lineRule="exact"/>
        <w:rPr>
          <w:rFonts w:ascii="Courier New" w:cs="Courier New" w:eastAsia="Courier New" w:hAnsi="Courier New"/>
          <w:sz w:val="17"/>
          <w:szCs w:val="17"/>
          <w:color w:val="auto"/>
        </w:rPr>
      </w:pPr>
    </w:p>
    <w:p>
      <w:pPr>
        <w:ind w:right="349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1" w:lineRule="exact"/>
        <w:rPr>
          <w:rFonts w:ascii="Courier New" w:cs="Courier New" w:eastAsia="Courier New" w:hAnsi="Courier New"/>
          <w:sz w:val="17"/>
          <w:szCs w:val="17"/>
          <w:color w:val="auto"/>
        </w:rPr>
      </w:pPr>
    </w:p>
    <w:p>
      <w:pPr>
        <w:ind w:right="339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4" w:lineRule="exact"/>
        <w:rPr>
          <w:rFonts w:ascii="Courier New" w:cs="Courier New" w:eastAsia="Courier New" w:hAnsi="Courier New"/>
          <w:sz w:val="17"/>
          <w:szCs w:val="17"/>
          <w:color w:val="auto"/>
        </w:rPr>
      </w:pPr>
    </w:p>
    <w:p>
      <w:pPr>
        <w:ind w:right="4119"/>
        <w:spacing w:after="0" w:line="258"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4" w:lineRule="exact"/>
        <w:rPr>
          <w:rFonts w:ascii="Courier New" w:cs="Courier New" w:eastAsia="Courier New" w:hAnsi="Courier New"/>
          <w:sz w:val="17"/>
          <w:szCs w:val="17"/>
          <w:color w:val="auto"/>
        </w:rPr>
      </w:pPr>
    </w:p>
    <w:p>
      <w:pPr>
        <w:ind w:right="50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19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2019-12-18T14:14:21Z</dcterms:created>
  <dcterms:modified xsi:type="dcterms:W3CDTF">2019-12-18T14:14:21Z</dcterms:modified>
</cp:coreProperties>
</file>