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4"/>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19"/>
          </w:tcPr>
          <w:p>
            <w:pPr>
              <w:ind w:left="120"/>
              <w:spacing w:after="0"/>
              <w:rPr>
                <w:sz w:val="20"/>
                <w:szCs w:val="20"/>
                <w:color w:val="auto"/>
              </w:rPr>
            </w:pPr>
            <w:r>
              <w:rPr>
                <w:rFonts w:ascii="Arial" w:cs="Arial" w:eastAsia="Arial" w:hAnsi="Arial"/>
                <w:sz w:val="22"/>
                <w:szCs w:val="22"/>
                <w:b w:val="1"/>
                <w:bCs w:val="1"/>
                <w:color w:val="auto"/>
              </w:rPr>
              <w:t>UNITED STATES SECURITIES AND EXCHANGE COMMISSION</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80" w:type="dxa"/>
            <w:vAlign w:val="bottom"/>
            <w:gridSpan w:val="5"/>
            <w:vMerge w:val="restart"/>
          </w:tcPr>
          <w:p>
            <w:pPr>
              <w:jc w:val="center"/>
              <w:spacing w:after="0" w:line="143" w:lineRule="exact"/>
              <w:rPr>
                <w:sz w:val="20"/>
                <w:szCs w:val="20"/>
                <w:color w:val="auto"/>
              </w:rPr>
            </w:pPr>
            <w:r>
              <w:rPr>
                <w:rFonts w:ascii="Arial" w:cs="Arial" w:eastAsia="Arial" w:hAnsi="Arial"/>
                <w:sz w:val="14"/>
                <w:szCs w:val="14"/>
                <w:color w:val="auto"/>
                <w:w w:val="95"/>
              </w:rPr>
              <w:t>Washington, D.C. 20549</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5"/>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400" w:type="dxa"/>
            <w:vAlign w:val="bottom"/>
            <w:gridSpan w:val="16"/>
            <w:vMerge w:val="restart"/>
          </w:tcPr>
          <w:p>
            <w:pPr>
              <w:jc w:val="center"/>
              <w:ind w:left="10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5"/>
            <w:vMerge w:val="continue"/>
          </w:tcPr>
          <w:p>
            <w:pPr>
              <w:spacing w:after="0"/>
              <w:rPr>
                <w:sz w:val="7"/>
                <w:szCs w:val="7"/>
                <w:color w:val="auto"/>
              </w:rPr>
            </w:pPr>
          </w:p>
        </w:tc>
        <w:tc>
          <w:tcPr>
            <w:tcW w:w="6400" w:type="dxa"/>
            <w:vAlign w:val="bottom"/>
            <w:gridSpan w:val="16"/>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400" w:type="dxa"/>
            <w:vAlign w:val="bottom"/>
            <w:gridSpan w:val="16"/>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4"/>
            <w:vMerge w:val="restart"/>
          </w:tcPr>
          <w:p>
            <w:pPr>
              <w:jc w:val="center"/>
              <w:ind w:right="394"/>
              <w:spacing w:after="0"/>
              <w:rPr>
                <w:sz w:val="20"/>
                <w:szCs w:val="20"/>
                <w:color w:val="auto"/>
              </w:rPr>
            </w:pPr>
            <w:r>
              <w:rPr>
                <w:rFonts w:ascii="Arial" w:cs="Arial" w:eastAsia="Arial" w:hAnsi="Arial"/>
                <w:sz w:val="22"/>
                <w:szCs w:val="22"/>
                <w:b w:val="1"/>
                <w:bCs w:val="1"/>
                <w:color w:val="auto"/>
                <w:w w:val="98"/>
              </w:rPr>
              <w:t>OWNERSHIP</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5"/>
            <w:vMerge w:val="continue"/>
          </w:tcPr>
          <w:p>
            <w:pPr>
              <w:spacing w:after="0"/>
              <w:rPr>
                <w:sz w:val="3"/>
                <w:szCs w:val="3"/>
                <w:color w:val="auto"/>
              </w:rPr>
            </w:pPr>
          </w:p>
        </w:tc>
        <w:tc>
          <w:tcPr>
            <w:tcW w:w="5640" w:type="dxa"/>
            <w:vAlign w:val="bottom"/>
            <w:gridSpan w:val="13"/>
            <w:vMerge w:val="restart"/>
          </w:tcPr>
          <w:p>
            <w:pPr>
              <w:jc w:val="center"/>
              <w:ind w:left="86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5"/>
            <w:vMerge w:val="continue"/>
          </w:tcPr>
          <w:p>
            <w:pPr>
              <w:spacing w:after="0" w:line="20" w:lineRule="exact"/>
              <w:rPr>
                <w:sz w:val="1"/>
                <w:szCs w:val="1"/>
                <w:color w:val="auto"/>
              </w:rPr>
            </w:pPr>
          </w:p>
        </w:tc>
        <w:tc>
          <w:tcPr>
            <w:tcW w:w="5640" w:type="dxa"/>
            <w:vAlign w:val="bottom"/>
            <w:gridSpan w:val="1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640" w:type="dxa"/>
            <w:vAlign w:val="bottom"/>
            <w:gridSpan w:val="13"/>
            <w:vMerge w:val="continue"/>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5"/>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BYRNE MARK JAMES</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480" w:type="dxa"/>
            <w:vAlign w:val="bottom"/>
          </w:tcPr>
          <w:p>
            <w:pPr>
              <w:spacing w:after="0"/>
              <w:rPr>
                <w:sz w:val="9"/>
                <w:szCs w:val="9"/>
                <w:color w:val="auto"/>
              </w:rPr>
            </w:pPr>
          </w:p>
        </w:tc>
        <w:tc>
          <w:tcPr>
            <w:tcW w:w="1600" w:type="dxa"/>
            <w:vAlign w:val="bottom"/>
            <w:gridSpan w:val="7"/>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5"/>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0" w:type="dxa"/>
            <w:vAlign w:val="bottom"/>
            <w:gridSpan w:val="7"/>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5"/>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360" w:type="dxa"/>
            <w:vAlign w:val="bottom"/>
          </w:tcPr>
          <w:p>
            <w:pPr>
              <w:spacing w:after="0"/>
              <w:rPr>
                <w:sz w:val="2"/>
                <w:szCs w:val="2"/>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5"/>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00" w:type="dxa"/>
            <w:vAlign w:val="bottom"/>
            <w:gridSpan w:val="6"/>
            <w:vMerge w:val="continue"/>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00" w:type="dxa"/>
            <w:vAlign w:val="bottom"/>
            <w:gridSpan w:val="6"/>
            <w:vMerge w:val="continue"/>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360" w:type="dxa"/>
            <w:vAlign w:val="bottom"/>
          </w:tcPr>
          <w:p>
            <w:pPr>
              <w:spacing w:after="0"/>
              <w:rPr>
                <w:sz w:val="5"/>
                <w:szCs w:val="5"/>
                <w:color w:val="auto"/>
              </w:rPr>
            </w:pPr>
          </w:p>
        </w:tc>
        <w:tc>
          <w:tcPr>
            <w:tcW w:w="1420" w:type="dxa"/>
            <w:vAlign w:val="bottom"/>
            <w:gridSpan w:val="4"/>
            <w:vMerge w:val="restart"/>
          </w:tcPr>
          <w:p>
            <w:pPr>
              <w:ind w:left="30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line="143" w:lineRule="exact"/>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14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(First)</w:t>
            </w:r>
          </w:p>
        </w:tc>
        <w:tc>
          <w:tcPr>
            <w:tcW w:w="1400" w:type="dxa"/>
            <w:vAlign w:val="bottom"/>
          </w:tcPr>
          <w:p>
            <w:pPr>
              <w:ind w:left="140"/>
              <w:spacing w:after="0" w:line="143"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200"/>
              <w:spacing w:after="0" w:line="143" w:lineRule="exact"/>
              <w:rPr>
                <w:sz w:val="20"/>
                <w:szCs w:val="20"/>
                <w:color w:val="auto"/>
              </w:rPr>
            </w:pPr>
            <w:r>
              <w:rPr>
                <w:rFonts w:ascii="Arial" w:cs="Arial" w:eastAsia="Arial" w:hAnsi="Arial"/>
                <w:sz w:val="14"/>
                <w:szCs w:val="14"/>
                <w:color w:val="auto"/>
              </w:rPr>
              <w:t>below)</w:t>
            </w:r>
          </w:p>
        </w:tc>
        <w:tc>
          <w:tcPr>
            <w:tcW w:w="360" w:type="dxa"/>
            <w:vAlign w:val="bottom"/>
          </w:tcPr>
          <w:p>
            <w:pPr>
              <w:spacing w:after="0"/>
              <w:rPr>
                <w:sz w:val="14"/>
                <w:szCs w:val="14"/>
                <w:color w:val="auto"/>
              </w:rPr>
            </w:pPr>
          </w:p>
        </w:tc>
        <w:tc>
          <w:tcPr>
            <w:tcW w:w="720" w:type="dxa"/>
            <w:vAlign w:val="bottom"/>
            <w:gridSpan w:val="2"/>
          </w:tcPr>
          <w:p>
            <w:pPr>
              <w:ind w:left="300"/>
              <w:spacing w:after="0" w:line="143"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w w:val="95"/>
              </w:rPr>
              <w:t>C/O WHITE MOUNTAINS INSURANCE GROUP,</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80" w:type="dxa"/>
            <w:vAlign w:val="bottom"/>
            <w:gridSpan w:val="10"/>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restart"/>
          </w:tcPr>
          <w:p>
            <w:pPr>
              <w:spacing w:after="0"/>
              <w:rPr>
                <w:sz w:val="20"/>
                <w:szCs w:val="20"/>
                <w:color w:val="auto"/>
              </w:rPr>
            </w:pPr>
            <w:r>
              <w:rPr>
                <w:rFonts w:ascii="Arial" w:cs="Arial" w:eastAsia="Arial" w:hAnsi="Arial"/>
                <w:sz w:val="18"/>
                <w:szCs w:val="18"/>
                <w:color w:val="0000FF"/>
              </w:rPr>
              <w:t>LTD</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80" w:type="dxa"/>
            <w:vAlign w:val="bottom"/>
            <w:gridSpan w:val="4"/>
          </w:tcPr>
          <w:p>
            <w:pPr>
              <w:ind w:left="160"/>
              <w:spacing w:after="0"/>
              <w:rPr>
                <w:sz w:val="20"/>
                <w:szCs w:val="20"/>
                <w:color w:val="auto"/>
              </w:rPr>
            </w:pPr>
            <w:r>
              <w:rPr>
                <w:rFonts w:ascii="Arial" w:cs="Arial" w:eastAsia="Arial" w:hAnsi="Arial"/>
                <w:sz w:val="18"/>
                <w:szCs w:val="18"/>
                <w:color w:val="0000FF"/>
              </w:rPr>
              <w:t>12/31/2003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5"/>
            <w:vMerge w:val="restart"/>
          </w:tcPr>
          <w:p>
            <w:pPr>
              <w:spacing w:after="0"/>
              <w:rPr>
                <w:sz w:val="20"/>
                <w:szCs w:val="20"/>
                <w:color w:val="auto"/>
              </w:rPr>
            </w:pPr>
            <w:r>
              <w:rPr>
                <w:rFonts w:ascii="Arial" w:cs="Arial" w:eastAsia="Arial" w:hAnsi="Arial"/>
                <w:sz w:val="18"/>
                <w:szCs w:val="18"/>
                <w:color w:val="0000FF"/>
              </w:rPr>
              <w:t>80 SOUTH MAIN STREET</w:t>
            </w: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8"/>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11"/>
                <w:szCs w:val="11"/>
                <w:color w:val="auto"/>
              </w:rPr>
            </w:pPr>
          </w:p>
        </w:tc>
        <w:tc>
          <w:tcPr>
            <w:tcW w:w="3380" w:type="dxa"/>
            <w:vAlign w:val="bottom"/>
            <w:gridSpan w:val="12"/>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480" w:type="dxa"/>
            <w:vAlign w:val="bottom"/>
          </w:tcPr>
          <w:p>
            <w:pPr>
              <w:spacing w:after="0"/>
              <w:rPr>
                <w:sz w:val="5"/>
                <w:szCs w:val="5"/>
                <w:color w:val="auto"/>
              </w:rPr>
            </w:pPr>
          </w:p>
        </w:tc>
        <w:tc>
          <w:tcPr>
            <w:tcW w:w="33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restart"/>
          </w:tcPr>
          <w:p>
            <w:pPr>
              <w:spacing w:after="0"/>
              <w:rPr>
                <w:sz w:val="8"/>
                <w:szCs w:val="8"/>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HANOVER</w:t>
            </w:r>
          </w:p>
        </w:tc>
        <w:tc>
          <w:tcPr>
            <w:tcW w:w="280" w:type="dxa"/>
            <w:vAlign w:val="bottom"/>
          </w:tcPr>
          <w:p>
            <w:pPr>
              <w:ind w:left="20"/>
              <w:spacing w:after="0"/>
              <w:rPr>
                <w:sz w:val="20"/>
                <w:szCs w:val="20"/>
                <w:color w:val="auto"/>
              </w:rPr>
            </w:pPr>
            <w:r>
              <w:rPr>
                <w:rFonts w:ascii="Arial" w:cs="Arial" w:eastAsia="Arial" w:hAnsi="Arial"/>
                <w:sz w:val="18"/>
                <w:szCs w:val="18"/>
                <w:color w:val="0000FF"/>
                <w:w w:val="92"/>
              </w:rPr>
              <w:t>NH</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03755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gridSpan w:val="9"/>
          </w:tcPr>
          <w:p>
            <w:pPr>
              <w:ind w:left="22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color w:val="auto"/>
              </w:rPr>
              <w:t>Person</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214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gridSpan w:val="2"/>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20"/>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ind w:left="40"/>
              <w:spacing w:after="0"/>
              <w:rPr>
                <w:sz w:val="20"/>
                <w:szCs w:val="20"/>
                <w:color w:val="auto"/>
              </w:rPr>
            </w:pPr>
            <w:r>
              <w:rPr>
                <w:rFonts w:ascii="Arial" w:cs="Arial" w:eastAsia="Arial" w:hAnsi="Arial"/>
                <w:sz w:val="12"/>
                <w:szCs w:val="12"/>
                <w:b w:val="1"/>
                <w:bCs w:val="1"/>
                <w:color w:val="auto"/>
              </w:rPr>
              <w:t>5. Amount of</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56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6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28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Owned at end of</w:t>
            </w:r>
          </w:p>
        </w:tc>
        <w:tc>
          <w:tcPr>
            <w:tcW w:w="36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w w:val="93"/>
              </w:rPr>
              <w:t>(D) or</w:t>
            </w:r>
          </w:p>
        </w:tc>
        <w:tc>
          <w:tcPr>
            <w:tcW w:w="560" w:type="dxa"/>
            <w:vAlign w:val="bottom"/>
          </w:tcPr>
          <w:p>
            <w:pPr>
              <w:spacing w:after="0"/>
              <w:rPr>
                <w:sz w:val="6"/>
                <w:szCs w:val="6"/>
                <w:color w:val="auto"/>
              </w:rPr>
            </w:pP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6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4)</w:t>
            </w: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4"/>
              </w:rPr>
              <w:t>Common Shares</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05/16/2003</w:t>
            </w:r>
          </w:p>
        </w:tc>
        <w:tc>
          <w:tcPr>
            <w:tcW w:w="1180" w:type="dxa"/>
            <w:vAlign w:val="bottom"/>
            <w:tcBorders>
              <w:bottom w:val="single" w:sz="8" w:color="2C2C2C"/>
            </w:tcBorders>
            <w:gridSpan w:val="4"/>
          </w:tcPr>
          <w:p>
            <w:pPr>
              <w:ind w:left="160"/>
              <w:spacing w:after="0"/>
              <w:rPr>
                <w:sz w:val="20"/>
                <w:szCs w:val="20"/>
                <w:color w:val="auto"/>
              </w:rPr>
            </w:pPr>
            <w:r>
              <w:rPr>
                <w:rFonts w:ascii="Arial" w:cs="Arial" w:eastAsia="Arial" w:hAnsi="Arial"/>
                <w:sz w:val="18"/>
                <w:szCs w:val="18"/>
                <w:color w:val="0000FF"/>
              </w:rPr>
              <w:t>05/16/2003</w:t>
            </w: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85"/>
              </w:rPr>
              <w:t>G</w:t>
            </w:r>
          </w:p>
        </w:tc>
        <w:tc>
          <w:tcPr>
            <w:tcW w:w="3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jc w:val="right"/>
              <w:ind w:right="274"/>
              <w:spacing w:after="0"/>
              <w:rPr>
                <w:sz w:val="20"/>
                <w:szCs w:val="20"/>
                <w:color w:val="auto"/>
              </w:rPr>
            </w:pPr>
            <w:r>
              <w:rPr>
                <w:rFonts w:ascii="Arial" w:cs="Arial" w:eastAsia="Arial" w:hAnsi="Arial"/>
                <w:sz w:val="18"/>
                <w:szCs w:val="18"/>
                <w:color w:val="0000FF"/>
              </w:rPr>
              <w:t>25,625</w:t>
            </w:r>
          </w:p>
        </w:tc>
        <w:tc>
          <w:tcPr>
            <w:tcW w:w="5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00"/>
              <w:spacing w:after="0"/>
              <w:rPr>
                <w:sz w:val="20"/>
                <w:szCs w:val="20"/>
                <w:color w:val="auto"/>
              </w:rPr>
            </w:pPr>
            <w:r>
              <w:rPr>
                <w:rFonts w:ascii="Arial" w:cs="Arial" w:eastAsia="Arial" w:hAnsi="Arial"/>
                <w:sz w:val="18"/>
                <w:szCs w:val="18"/>
                <w:color w:val="0000FF"/>
              </w:rPr>
              <w:t>222,156</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I</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by Trust</w:t>
            </w: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40" w:type="dxa"/>
            <w:vAlign w:val="bottom"/>
            <w:gridSpan w:val="13"/>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4"/>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3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-5823585</wp:posOffset>
            </wp:positionV>
            <wp:extent cx="7272020" cy="588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8826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Reporting Person disclaims beneficial ownership of any of the Common Shares of WTM contained herein.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Dennis Beaulieu,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0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0000FF"/>
        </w:rPr>
        <w:t>02/10/2004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and Dennis P. Beaulieu, Secretary,</w:t>
      </w:r>
    </w:p>
    <w:p>
      <w:pPr>
        <w:spacing w:after="0" w:line="6" w:lineRule="exact"/>
        <w:rPr>
          <w:sz w:val="20"/>
          <w:szCs w:val="20"/>
          <w:color w:val="auto"/>
        </w:rPr>
      </w:pPr>
    </w:p>
    <w:p>
      <w:pPr>
        <w:jc w:val="center"/>
        <w:ind w:right="3359"/>
        <w:spacing w:after="0" w:line="268" w:lineRule="auto"/>
        <w:rPr>
          <w:sz w:val="20"/>
          <w:szCs w:val="20"/>
          <w:color w:val="auto"/>
        </w:rPr>
      </w:pPr>
      <w:r>
        <w:rPr>
          <w:rFonts w:ascii="Courier New" w:cs="Courier New" w:eastAsia="Courier New" w:hAnsi="Courier New"/>
          <w:sz w:val="16"/>
          <w:szCs w:val="16"/>
          <w:color w:val="auto"/>
        </w:rPr>
        <w:t>of White Mountains Insurance Group, Ltd., and Robert L. Seelig, General Counsel of White Mountains Insurance Group, Ltd.,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May, 2003.</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Mark J. Byrne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1361"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2019-12-17T11:29:08Z</dcterms:created>
  <dcterms:modified xsi:type="dcterms:W3CDTF">2019-12-17T11:29:08Z</dcterms:modified>
</cp:coreProperties>
</file>