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53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53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12/27/2007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11/08/2007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700" w:type="dxa"/>
            <w:vAlign w:val="bottom"/>
            <w:tcBorders>
              <w:bottom w:val="single" w:sz="8" w:color="2C2C2C"/>
            </w:tcBorders>
          </w:tcPr>
          <w:p>
            <w:pPr>
              <w:ind w:left="260"/>
              <w:spacing w:after="0" w:line="317" w:lineRule="exact"/>
              <w:rPr>
                <w:sz w:val="20"/>
                <w:szCs w:val="20"/>
                <w:color w:val="auto"/>
              </w:rPr>
            </w:pPr>
            <w:r>
              <w:rPr>
                <w:rFonts w:ascii="Arial" w:cs="Arial" w:eastAsia="Arial" w:hAnsi="Arial"/>
                <w:sz w:val="34"/>
                <w:szCs w:val="34"/>
                <w:color w:val="0000FF"/>
                <w:w w:val="81"/>
                <w:vertAlign w:val="subscript"/>
              </w:rPr>
              <w:t>299</w:t>
            </w:r>
            <w:r>
              <w:rPr>
                <w:rFonts w:ascii="Arial" w:cs="Arial" w:eastAsia="Arial" w:hAnsi="Arial"/>
                <w:sz w:val="11"/>
                <w:szCs w:val="11"/>
                <w:color w:val="008000"/>
                <w:w w:val="81"/>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14,900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rPr>
              <w:t>5,475</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12/27/2007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18</w:t>
            </w:r>
            <w:r>
              <w:rPr>
                <w:rFonts w:ascii="Arial" w:cs="Arial" w:eastAsia="Arial" w:hAnsi="Arial"/>
                <w:sz w:val="11"/>
                <w:szCs w:val="11"/>
                <w:color w:val="008000"/>
              </w:rPr>
              <w:t>(4)</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18</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500</w:t>
            </w:r>
            <w:r>
              <w:rPr>
                <w:rFonts w:ascii="Arial" w:cs="Arial" w:eastAsia="Arial" w:hAnsi="Arial"/>
                <w:sz w:val="22"/>
                <w:szCs w:val="22"/>
                <w:color w:val="008000"/>
                <w:vertAlign w:val="superscript"/>
              </w:rPr>
              <w:t>(6)</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4,483</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Reporting Person's gift to charitable foundation on November 8, 2007.</w:t>
      </w:r>
    </w:p>
    <w:p>
      <w:pPr>
        <w:spacing w:after="0" w:line="48"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his last filing, Reporting Person acquired 12 shares of WTM Common Shares under three 401(k) plans. WTM Common Shares are purchased at their fair market value on the date of acquisition. The information in this report is based on plan statements dated September 30, 2007, November 30, 2007 and December 28, 2007, respectively.</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27,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December 27, 2007,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12/31/2007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2019-12-18T13:36:07Z</dcterms:created>
  <dcterms:modified xsi:type="dcterms:W3CDTF">2019-12-18T13:36:07Z</dcterms:modified>
</cp:coreProperties>
</file>