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1"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6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52"/>
              <w:spacing w:after="0" w:line="143"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60" w:type="dxa"/>
            <w:vAlign w:val="bottom"/>
            <w:vMerge w:val="restart"/>
          </w:tcPr>
          <w:p>
            <w:pPr>
              <w:jc w:val="center"/>
              <w:ind w:right="152"/>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5494020</wp:posOffset>
            </wp:positionH>
            <wp:positionV relativeFrom="paragraph">
              <wp:posOffset>-654685</wp:posOffset>
            </wp:positionV>
            <wp:extent cx="59690" cy="668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020"/>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-654685</wp:posOffset>
            </wp:positionV>
            <wp:extent cx="59690" cy="668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02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-1683385</wp:posOffset>
            </wp:positionH>
            <wp:positionV relativeFrom="paragraph">
              <wp:posOffset>21590</wp:posOffset>
            </wp:positionV>
            <wp:extent cx="7322820" cy="5892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892800"/>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60" w:space="280"/>
            <w:col w:w="888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CAMPBELL REID TARLTON</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80"/>
        <w:spacing w:after="0" w:line="267" w:lineRule="auto"/>
        <w:rPr>
          <w:sz w:val="20"/>
          <w:szCs w:val="20"/>
          <w:color w:val="auto"/>
        </w:rPr>
      </w:pPr>
      <w:r>
        <w:rPr>
          <w:rFonts w:ascii="Arial" w:cs="Arial" w:eastAsia="Arial" w:hAnsi="Arial"/>
          <w:sz w:val="18"/>
          <w:szCs w:val="18"/>
          <w:color w:val="0000FF"/>
        </w:rPr>
        <w:t>C/O WHITE MOUNTAINS INSURANCE GROUP, LTD</w:t>
      </w:r>
    </w:p>
    <w:p>
      <w:pPr>
        <w:spacing w:after="0" w:line="2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6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7"/>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0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3"/>
        </w:trPr>
        <w:tc>
          <w:tcPr>
            <w:tcW w:w="3980" w:type="dxa"/>
            <w:vAlign w:val="bottom"/>
            <w:gridSpan w:val="4"/>
          </w:tcPr>
          <w:p>
            <w:pPr>
              <w:ind w:left="60"/>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20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3980" w:type="dxa"/>
            <w:vAlign w:val="bottom"/>
            <w:gridSpan w:val="4"/>
            <w:vMerge w:val="restart"/>
          </w:tcPr>
          <w:p>
            <w:pPr>
              <w:ind w:left="60"/>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980" w:type="dxa"/>
            <w:vAlign w:val="bottom"/>
            <w:gridSpan w:val="4"/>
            <w:vMerge w:val="continue"/>
          </w:tcPr>
          <w:p>
            <w:pPr>
              <w:spacing w:after="0"/>
              <w:rPr>
                <w:sz w:val="8"/>
                <w:szCs w:val="8"/>
                <w:color w:val="auto"/>
              </w:rPr>
            </w:pPr>
          </w:p>
        </w:tc>
        <w:tc>
          <w:tcPr>
            <w:tcW w:w="50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2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2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29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Managing Director &amp; President</w:t>
            </w:r>
          </w:p>
        </w:tc>
        <w:tc>
          <w:tcPr>
            <w:tcW w:w="0" w:type="dxa"/>
            <w:vAlign w:val="bottom"/>
          </w:tcPr>
          <w:p>
            <w:pPr>
              <w:spacing w:after="0"/>
              <w:rPr>
                <w:sz w:val="1"/>
                <w:szCs w:val="1"/>
                <w:color w:val="auto"/>
              </w:rPr>
            </w:pPr>
          </w:p>
        </w:tc>
      </w:tr>
      <w:tr>
        <w:trPr>
          <w:trHeight w:val="194"/>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60"/>
              <w:spacing w:after="0"/>
              <w:rPr>
                <w:sz w:val="20"/>
                <w:szCs w:val="20"/>
                <w:color w:val="auto"/>
              </w:rPr>
            </w:pPr>
            <w:r>
              <w:rPr>
                <w:rFonts w:ascii="Arial" w:cs="Arial" w:eastAsia="Arial" w:hAnsi="Arial"/>
                <w:sz w:val="18"/>
                <w:szCs w:val="18"/>
                <w:color w:val="0000FF"/>
              </w:rPr>
              <w:t>12/27/2008</w:t>
            </w:r>
          </w:p>
        </w:tc>
        <w:tc>
          <w:tcPr>
            <w:tcW w:w="2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0" w:type="dxa"/>
            <w:vAlign w:val="bottom"/>
            <w:tcBorders>
              <w:bottom w:val="single" w:sz="8" w:color="2C2C2C"/>
            </w:tcBorders>
          </w:tcPr>
          <w:p>
            <w:pPr>
              <w:spacing w:after="0"/>
              <w:rPr>
                <w:sz w:val="20"/>
                <w:szCs w:val="20"/>
                <w:color w:val="auto"/>
              </w:rPr>
            </w:pPr>
          </w:p>
        </w:tc>
        <w:tc>
          <w:tcPr>
            <w:tcW w:w="1200" w:type="dxa"/>
            <w:vAlign w:val="bottom"/>
            <w:tcBorders>
              <w:bottom w:val="single" w:sz="8" w:color="2C2C2C"/>
            </w:tcBorders>
          </w:tcPr>
          <w:p>
            <w:pPr>
              <w:spacing w:after="0"/>
              <w:rPr>
                <w:sz w:val="20"/>
                <w:szCs w:val="20"/>
                <w:color w:val="auto"/>
              </w:rPr>
            </w:pPr>
          </w:p>
        </w:tc>
        <w:tc>
          <w:tcPr>
            <w:tcW w:w="212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24" w:lineRule="auto"/>
        <w:tabs>
          <w:tab w:leader="none" w:pos="458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5"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506" w:lineRule="exact"/>
        <w:rPr>
          <w:sz w:val="20"/>
          <w:szCs w:val="20"/>
          <w:color w:val="auto"/>
        </w:rPr>
      </w:pPr>
    </w:p>
    <w:p>
      <w:pPr>
        <w:sectPr>
          <w:pgSz w:w="11900" w:h="16838" w:orient="portrait"/>
          <w:cols w:equalWidth="0" w:num="2">
            <w:col w:w="3900" w:space="10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2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0000FF"/>
              </w:rPr>
              <w:t>12/27/2008</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ind w:left="280"/>
              <w:spacing w:after="0"/>
              <w:rPr>
                <w:sz w:val="20"/>
                <w:szCs w:val="20"/>
                <w:color w:val="auto"/>
              </w:rPr>
            </w:pPr>
            <w:r>
              <w:rPr>
                <w:rFonts w:ascii="Arial" w:cs="Arial" w:eastAsia="Arial" w:hAnsi="Arial"/>
                <w:sz w:val="18"/>
                <w:szCs w:val="18"/>
                <w:color w:val="0000FF"/>
              </w:rPr>
              <w:t>900</w:t>
            </w:r>
          </w:p>
        </w:tc>
        <w:tc>
          <w:tcPr>
            <w:tcW w:w="660" w:type="dxa"/>
            <w:vAlign w:val="bottom"/>
          </w:tcPr>
          <w:p>
            <w:pPr>
              <w:ind w:left="260"/>
              <w:spacing w:after="0"/>
              <w:rPr>
                <w:sz w:val="20"/>
                <w:szCs w:val="20"/>
                <w:color w:val="auto"/>
              </w:rPr>
            </w:pPr>
            <w:r>
              <w:rPr>
                <w:rFonts w:ascii="Arial" w:cs="Arial" w:eastAsia="Arial" w:hAnsi="Arial"/>
                <w:sz w:val="18"/>
                <w:szCs w:val="18"/>
                <w:color w:val="0000FF"/>
              </w:rPr>
              <w:t>A</w:t>
            </w:r>
          </w:p>
        </w:tc>
        <w:tc>
          <w:tcPr>
            <w:tcW w:w="820" w:type="dxa"/>
            <w:vAlign w:val="bottom"/>
            <w:gridSpan w:val="2"/>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177.6577</w:t>
            </w:r>
          </w:p>
        </w:tc>
        <w:tc>
          <w:tcPr>
            <w:tcW w:w="1200" w:type="dxa"/>
            <w:vAlign w:val="bottom"/>
            <w:gridSpan w:val="2"/>
          </w:tcPr>
          <w:p>
            <w:pPr>
              <w:jc w:val="center"/>
              <w:spacing w:after="0"/>
              <w:rPr>
                <w:sz w:val="20"/>
                <w:szCs w:val="20"/>
                <w:color w:val="auto"/>
              </w:rPr>
            </w:pPr>
            <w:r>
              <w:rPr>
                <w:rFonts w:ascii="Arial" w:cs="Arial" w:eastAsia="Arial" w:hAnsi="Arial"/>
                <w:sz w:val="18"/>
                <w:szCs w:val="18"/>
                <w:color w:val="0000FF"/>
                <w:w w:val="88"/>
              </w:rPr>
              <w:t>2,700</w:t>
            </w:r>
          </w:p>
        </w:tc>
        <w:tc>
          <w:tcPr>
            <w:tcW w:w="280" w:type="dxa"/>
            <w:vAlign w:val="bottom"/>
          </w:tcPr>
          <w:p>
            <w:pPr>
              <w:spacing w:after="0"/>
              <w:rPr>
                <w:sz w:val="23"/>
                <w:szCs w:val="23"/>
                <w:color w:val="auto"/>
              </w:rPr>
            </w:pPr>
          </w:p>
        </w:tc>
        <w:tc>
          <w:tcPr>
            <w:tcW w:w="700" w:type="dxa"/>
            <w:vAlign w:val="bottom"/>
          </w:tcPr>
          <w:p>
            <w:pPr>
              <w:jc w:val="center"/>
              <w:ind w:right="311"/>
              <w:spacing w:after="0"/>
              <w:rPr>
                <w:sz w:val="20"/>
                <w:szCs w:val="20"/>
                <w:color w:val="auto"/>
              </w:rPr>
            </w:pPr>
            <w:r>
              <w:rPr>
                <w:rFonts w:ascii="Arial" w:cs="Arial" w:eastAsia="Arial" w:hAnsi="Arial"/>
                <w:sz w:val="18"/>
                <w:szCs w:val="18"/>
                <w:color w:val="0000FF"/>
                <w:w w:val="91"/>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color w:val="0000FF"/>
                <w:w w:val="88"/>
              </w:rPr>
              <w:t>2,000</w:t>
            </w:r>
          </w:p>
        </w:tc>
        <w:tc>
          <w:tcPr>
            <w:tcW w:w="280" w:type="dxa"/>
            <w:vAlign w:val="bottom"/>
          </w:tcPr>
          <w:p>
            <w:pPr>
              <w:spacing w:after="0"/>
              <w:rPr>
                <w:sz w:val="23"/>
                <w:szCs w:val="23"/>
                <w:color w:val="auto"/>
              </w:rPr>
            </w:pPr>
          </w:p>
        </w:tc>
        <w:tc>
          <w:tcPr>
            <w:tcW w:w="700" w:type="dxa"/>
            <w:vAlign w:val="bottom"/>
          </w:tcPr>
          <w:p>
            <w:pPr>
              <w:jc w:val="center"/>
              <w:ind w:right="311"/>
              <w:spacing w:after="0"/>
              <w:rPr>
                <w:sz w:val="20"/>
                <w:szCs w:val="20"/>
                <w:color w:val="auto"/>
              </w:rPr>
            </w:pPr>
            <w:r>
              <w:rPr>
                <w:rFonts w:ascii="Arial" w:cs="Arial" w:eastAsia="Arial" w:hAnsi="Arial"/>
                <w:sz w:val="18"/>
                <w:szCs w:val="18"/>
                <w:color w:val="0000FF"/>
                <w:w w:val="91"/>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vMerge w:val="restart"/>
          </w:tcPr>
          <w:p>
            <w:pPr>
              <w:jc w:val="center"/>
              <w:ind w:right="399"/>
              <w:spacing w:after="0"/>
              <w:rPr>
                <w:sz w:val="20"/>
                <w:szCs w:val="20"/>
                <w:color w:val="auto"/>
              </w:rPr>
            </w:pPr>
            <w:r>
              <w:rPr>
                <w:rFonts w:ascii="Arial" w:cs="Arial" w:eastAsia="Arial" w:hAnsi="Arial"/>
                <w:sz w:val="35"/>
                <w:szCs w:val="35"/>
                <w:color w:val="0000FF"/>
                <w:w w:val="81"/>
                <w:vertAlign w:val="subscript"/>
              </w:rPr>
              <w:t>16</w:t>
            </w:r>
            <w:r>
              <w:rPr>
                <w:rFonts w:ascii="Arial" w:cs="Arial" w:eastAsia="Arial" w:hAnsi="Arial"/>
                <w:sz w:val="11"/>
                <w:szCs w:val="11"/>
                <w:color w:val="008000"/>
                <w:w w:val="81"/>
              </w:rPr>
              <w:t>(1)</w:t>
            </w:r>
          </w:p>
        </w:tc>
        <w:tc>
          <w:tcPr>
            <w:tcW w:w="280" w:type="dxa"/>
            <w:vAlign w:val="bottom"/>
          </w:tcPr>
          <w:p>
            <w:pPr>
              <w:spacing w:after="0"/>
              <w:rPr>
                <w:sz w:val="22"/>
                <w:szCs w:val="22"/>
                <w:color w:val="auto"/>
              </w:rPr>
            </w:pPr>
          </w:p>
        </w:tc>
        <w:tc>
          <w:tcPr>
            <w:tcW w:w="700" w:type="dxa"/>
            <w:vAlign w:val="bottom"/>
            <w:vMerge w:val="restart"/>
          </w:tcPr>
          <w:p>
            <w:pPr>
              <w:jc w:val="center"/>
              <w:ind w:right="331"/>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7320" w:type="dxa"/>
            <w:vAlign w:val="bottom"/>
            <w:tcBorders>
              <w:bottom w:val="single" w:sz="8" w:color="2C2C2C"/>
            </w:tcBorders>
            <w:gridSpan w:val="11"/>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1"/>
          </w:tcPr>
          <w:p>
            <w:pPr>
              <w:ind w:left="1020"/>
              <w:spacing w:after="0"/>
              <w:rPr>
                <w:sz w:val="20"/>
                <w:szCs w:val="20"/>
                <w:color w:val="auto"/>
              </w:rPr>
            </w:pPr>
            <w:r>
              <w:rPr>
                <w:rFonts w:ascii="Arial" w:cs="Arial" w:eastAsia="Arial" w:hAnsi="Arial"/>
                <w:sz w:val="18"/>
                <w:szCs w:val="18"/>
                <w:b w:val="1"/>
                <w:bCs w:val="1"/>
                <w:color w:val="auto"/>
                <w:w w:val="96"/>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560" w:type="dxa"/>
            <w:vAlign w:val="bottom"/>
            <w:gridSpan w:val="8"/>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7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10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Common</w:t>
            </w:r>
          </w:p>
        </w:tc>
        <w:tc>
          <w:tcPr>
            <w:tcW w:w="860" w:type="dxa"/>
            <w:vAlign w:val="bottom"/>
            <w:vMerge w:val="restart"/>
          </w:tcPr>
          <w:p>
            <w:pPr>
              <w:ind w:left="80"/>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177.6577</w:t>
            </w:r>
            <w:r>
              <w:rPr>
                <w:rFonts w:ascii="Arial" w:cs="Arial" w:eastAsia="Arial" w:hAnsi="Arial"/>
                <w:sz w:val="22"/>
                <w:szCs w:val="22"/>
                <w:color w:val="008000"/>
                <w:w w:val="96"/>
                <w:vertAlign w:val="superscript"/>
              </w:rPr>
              <w:t>(2)</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40" w:type="dxa"/>
            <w:vAlign w:val="bottom"/>
          </w:tcPr>
          <w:p>
            <w:pPr>
              <w:spacing w:after="0"/>
              <w:rPr>
                <w:sz w:val="16"/>
                <w:szCs w:val="16"/>
                <w:color w:val="auto"/>
              </w:rPr>
            </w:pPr>
          </w:p>
        </w:tc>
        <w:tc>
          <w:tcPr>
            <w:tcW w:w="66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ind w:left="160"/>
              <w:spacing w:after="0"/>
              <w:rPr>
                <w:sz w:val="20"/>
                <w:szCs w:val="20"/>
                <w:color w:val="auto"/>
              </w:rPr>
            </w:pPr>
            <w:r>
              <w:rPr>
                <w:rFonts w:ascii="Arial" w:cs="Arial" w:eastAsia="Arial" w:hAnsi="Arial"/>
                <w:sz w:val="18"/>
                <w:szCs w:val="18"/>
                <w:color w:val="0000FF"/>
              </w:rPr>
              <w:t>900</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3"/>
                <w:szCs w:val="13"/>
                <w:color w:val="0000FF"/>
              </w:rPr>
              <w:t>Share</w:t>
            </w:r>
          </w:p>
        </w:tc>
        <w:tc>
          <w:tcPr>
            <w:tcW w:w="860" w:type="dxa"/>
            <w:vAlign w:val="bottom"/>
            <w:vMerge w:val="continue"/>
          </w:tcPr>
          <w:p>
            <w:pPr>
              <w:spacing w:after="0"/>
              <w:rPr>
                <w:sz w:val="5"/>
                <w:szCs w:val="5"/>
                <w:color w:val="auto"/>
              </w:rPr>
            </w:pPr>
          </w:p>
        </w:tc>
        <w:tc>
          <w:tcPr>
            <w:tcW w:w="1120" w:type="dxa"/>
            <w:vAlign w:val="bottom"/>
            <w:vMerge w:val="restart"/>
          </w:tcPr>
          <w:p>
            <w:pPr>
              <w:ind w:left="260"/>
              <w:spacing w:after="0" w:line="149" w:lineRule="exact"/>
              <w:rPr>
                <w:sz w:val="20"/>
                <w:szCs w:val="20"/>
                <w:color w:val="auto"/>
              </w:rPr>
            </w:pPr>
            <w:r>
              <w:rPr>
                <w:rFonts w:ascii="Arial" w:cs="Arial" w:eastAsia="Arial" w:hAnsi="Arial"/>
                <w:sz w:val="13"/>
                <w:szCs w:val="13"/>
                <w:color w:val="0000FF"/>
              </w:rPr>
              <w:t>12/27/2008</w:t>
            </w:r>
          </w:p>
        </w:tc>
        <w:tc>
          <w:tcPr>
            <w:tcW w:w="1140" w:type="dxa"/>
            <w:vAlign w:val="bottom"/>
          </w:tcPr>
          <w:p>
            <w:pPr>
              <w:spacing w:after="0"/>
              <w:rPr>
                <w:sz w:val="5"/>
                <w:szCs w:val="5"/>
                <w:color w:val="auto"/>
              </w:rPr>
            </w:pPr>
          </w:p>
        </w:tc>
        <w:tc>
          <w:tcPr>
            <w:tcW w:w="460" w:type="dxa"/>
            <w:vAlign w:val="bottom"/>
            <w:vMerge w:val="restart"/>
          </w:tcPr>
          <w:p>
            <w:pPr>
              <w:ind w:left="160"/>
              <w:spacing w:after="0" w:line="149" w:lineRule="exact"/>
              <w:rPr>
                <w:sz w:val="20"/>
                <w:szCs w:val="20"/>
                <w:color w:val="auto"/>
              </w:rPr>
            </w:pPr>
            <w:r>
              <w:rPr>
                <w:rFonts w:ascii="Arial" w:cs="Arial" w:eastAsia="Arial" w:hAnsi="Arial"/>
                <w:sz w:val="13"/>
                <w:szCs w:val="13"/>
                <w:color w:val="0000FF"/>
              </w:rPr>
              <w:t>M</w:t>
            </w:r>
          </w:p>
        </w:tc>
        <w:tc>
          <w:tcPr>
            <w:tcW w:w="440" w:type="dxa"/>
            <w:vAlign w:val="bottom"/>
          </w:tcPr>
          <w:p>
            <w:pPr>
              <w:spacing w:after="0"/>
              <w:rPr>
                <w:sz w:val="5"/>
                <w:szCs w:val="5"/>
                <w:color w:val="auto"/>
              </w:rPr>
            </w:pPr>
          </w:p>
        </w:tc>
        <w:tc>
          <w:tcPr>
            <w:tcW w:w="720" w:type="dxa"/>
            <w:vAlign w:val="bottom"/>
            <w:vMerge w:val="restart"/>
          </w:tcPr>
          <w:p>
            <w:pPr>
              <w:ind w:left="400"/>
              <w:spacing w:after="0" w:line="149" w:lineRule="exact"/>
              <w:rPr>
                <w:sz w:val="20"/>
                <w:szCs w:val="20"/>
                <w:color w:val="auto"/>
              </w:rPr>
            </w:pPr>
            <w:r>
              <w:rPr>
                <w:rFonts w:ascii="Arial" w:cs="Arial" w:eastAsia="Arial" w:hAnsi="Arial"/>
                <w:sz w:val="13"/>
                <w:szCs w:val="13"/>
                <w:color w:val="0000FF"/>
              </w:rPr>
              <w:t>900</w:t>
            </w:r>
          </w:p>
        </w:tc>
        <w:tc>
          <w:tcPr>
            <w:tcW w:w="800" w:type="dxa"/>
            <w:vAlign w:val="bottom"/>
            <w:vMerge w:val="continue"/>
          </w:tcPr>
          <w:p>
            <w:pPr>
              <w:spacing w:after="0"/>
              <w:rPr>
                <w:sz w:val="5"/>
                <w:szCs w:val="5"/>
                <w:color w:val="auto"/>
              </w:rPr>
            </w:pPr>
          </w:p>
        </w:tc>
        <w:tc>
          <w:tcPr>
            <w:tcW w:w="740" w:type="dxa"/>
            <w:vAlign w:val="bottom"/>
            <w:vMerge w:val="restart"/>
          </w:tcPr>
          <w:p>
            <w:pPr>
              <w:ind w:left="60"/>
              <w:spacing w:after="0" w:line="149" w:lineRule="exact"/>
              <w:rPr>
                <w:sz w:val="20"/>
                <w:szCs w:val="20"/>
                <w:color w:val="auto"/>
              </w:rPr>
            </w:pPr>
            <w:r>
              <w:rPr>
                <w:rFonts w:ascii="Arial" w:cs="Arial" w:eastAsia="Arial" w:hAnsi="Arial"/>
                <w:sz w:val="13"/>
                <w:szCs w:val="13"/>
                <w:color w:val="0000FF"/>
              </w:rPr>
              <w:t>02/28/2010</w:t>
            </w: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vMerge w:val="restart"/>
          </w:tcPr>
          <w:p>
            <w:pPr>
              <w:ind w:left="80"/>
              <w:spacing w:after="0" w:line="14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vMerge w:val="restart"/>
          </w:tcPr>
          <w:p>
            <w:pPr>
              <w:ind w:left="480"/>
              <w:spacing w:after="0" w:line="149" w:lineRule="exact"/>
              <w:rPr>
                <w:sz w:val="20"/>
                <w:szCs w:val="20"/>
                <w:color w:val="auto"/>
              </w:rPr>
            </w:pPr>
            <w:r>
              <w:rPr>
                <w:rFonts w:ascii="Arial" w:cs="Arial" w:eastAsia="Arial" w:hAnsi="Arial"/>
                <w:sz w:val="13"/>
                <w:szCs w:val="13"/>
                <w:color w:val="0000FF"/>
              </w:rPr>
              <w:t>900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Options</w:t>
            </w:r>
          </w:p>
        </w:tc>
        <w:tc>
          <w:tcPr>
            <w:tcW w:w="8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9" w:lineRule="exact"/>
        <w:rPr>
          <w:sz w:val="20"/>
          <w:szCs w:val="20"/>
          <w:color w:val="auto"/>
        </w:rPr>
      </w:pPr>
    </w:p>
    <w:p>
      <w:pPr>
        <w:ind w:left="40" w:right="220" w:firstLine="8"/>
        <w:spacing w:after="0" w:line="274" w:lineRule="auto"/>
        <w:tabs>
          <w:tab w:leader="none" w:pos="17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Since December 31, 2007, the date of Reporting Person's last filing, Reporting Person acquired 7 shares of WTM Common Shares in his company 401(k) plan account. WTM Common Shares are purchased at fair market value on the date of purchase. The information in this report is based on a plan statement dated as of November 30, 2008.</w:t>
      </w:r>
    </w:p>
    <w:p>
      <w:pPr>
        <w:spacing w:after="0" w:line="9" w:lineRule="exact"/>
        <w:rPr>
          <w:rFonts w:ascii="Arial" w:cs="Arial" w:eastAsia="Arial" w:hAnsi="Arial"/>
          <w:sz w:val="13"/>
          <w:szCs w:val="13"/>
          <w:color w:val="008000"/>
        </w:rPr>
      </w:pPr>
    </w:p>
    <w:p>
      <w:pPr>
        <w:ind w:left="40" w:right="160" w:firstLine="8"/>
        <w:spacing w:after="0" w:line="274" w:lineRule="auto"/>
        <w:tabs>
          <w:tab w:leader="none" w:pos="17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2000, the Reporting Person was granted options to purchase WTM Common Shares on a 1 for 1 basis at an initial exercise price of $106.19. The exercise price increases by 6% annually on a cumulative basis.</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Options to acquire 900 Common Shares become exercisable on December 27, 2009.</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Jason R. Lichtenstein, by</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12/29/2008</w:t>
            </w:r>
          </w:p>
        </w:tc>
        <w:tc>
          <w:tcPr>
            <w:tcW w:w="0" w:type="dxa"/>
            <w:vAlign w:val="bottom"/>
          </w:tcPr>
          <w:p>
            <w:pPr>
              <w:spacing w:after="0"/>
              <w:rPr>
                <w:sz w:val="1"/>
                <w:szCs w:val="1"/>
                <w:color w:val="auto"/>
              </w:rPr>
            </w:pPr>
          </w:p>
        </w:tc>
      </w:tr>
      <w:tr>
        <w:trPr>
          <w:trHeight w:val="88"/>
        </w:trPr>
        <w:tc>
          <w:tcPr>
            <w:tcW w:w="176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Power of Attorney</w:t>
            </w:r>
          </w:p>
        </w:tc>
        <w:tc>
          <w:tcPr>
            <w:tcW w:w="3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760" w:type="dxa"/>
            <w:vAlign w:val="bottom"/>
            <w:tcBorders>
              <w:top w:val="single" w:sz="8" w:color="auto"/>
            </w:tcBorders>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3" w:lineRule="exact"/>
        <w:rPr>
          <w:sz w:val="20"/>
          <w:szCs w:val="20"/>
          <w:color w:val="auto"/>
        </w:rPr>
      </w:pPr>
    </w:p>
    <w:p>
      <w:pPr>
        <w:jc w:val="both"/>
        <w:ind w:left="40" w:right="3680" w:firstLine="8"/>
        <w:spacing w:after="0" w:line="323"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ind w:right="3999"/>
        <w:spacing w:after="0" w:line="267"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4" w:lineRule="exact"/>
        <w:rPr>
          <w:sz w:val="20"/>
          <w:szCs w:val="20"/>
          <w:color w:val="auto"/>
        </w:rPr>
      </w:pPr>
    </w:p>
    <w:p>
      <w:pPr>
        <w:ind w:right="379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4"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4" w:lineRule="exact"/>
        <w:rPr>
          <w:rFonts w:ascii="Courier New" w:cs="Courier New" w:eastAsia="Courier New" w:hAnsi="Courier New"/>
          <w:sz w:val="18"/>
          <w:szCs w:val="18"/>
          <w:color w:val="auto"/>
        </w:rPr>
      </w:pPr>
    </w:p>
    <w:p>
      <w:pPr>
        <w:ind w:right="3159"/>
        <w:spacing w:after="0" w:line="267"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4" w:lineRule="exact"/>
        <w:rPr>
          <w:rFonts w:ascii="Courier New" w:cs="Courier New" w:eastAsia="Courier New" w:hAnsi="Courier New"/>
          <w:sz w:val="18"/>
          <w:szCs w:val="18"/>
          <w:color w:val="auto"/>
        </w:rPr>
      </w:pPr>
    </w:p>
    <w:p>
      <w:pPr>
        <w:ind w:right="325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92"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6"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7"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4"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19th day of June 2008.</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Reid T. Campbell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8156"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2019-12-18T13:33:34Z</dcterms:created>
  <dcterms:modified xsi:type="dcterms:W3CDTF">2019-12-18T13:33:34Z</dcterms:modified>
</cp:coreProperties>
</file>