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6826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8268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420"/>
            <w:col w:w="8800"/>
          </w:cols>
          <w:pgMar w:left="240" w:top="223" w:right="139" w:bottom="523"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BARRETTE RAYMOND JOSEPH RENE</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220"/>
        <w:spacing w:after="0" w:line="346" w:lineRule="auto"/>
        <w:rPr>
          <w:sz w:val="20"/>
          <w:szCs w:val="20"/>
          <w:color w:val="auto"/>
        </w:rPr>
      </w:pPr>
      <w:r>
        <w:rPr>
          <w:rFonts w:ascii="Arial" w:cs="Arial" w:eastAsia="Arial" w:hAnsi="Arial"/>
          <w:sz w:val="17"/>
          <w:szCs w:val="17"/>
          <w:color w:val="0000FF"/>
        </w:rPr>
        <w:t>C/O WHITE MOUNTAINS INSURANCE GROUP 80 SOUTH MAIN STREET</w:t>
      </w:r>
    </w:p>
    <w:p>
      <w:pPr>
        <w:spacing w:after="0" w:line="191"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3"/>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980" w:type="dxa"/>
            <w:vAlign w:val="bottom"/>
            <w:gridSpan w:val="4"/>
          </w:tcPr>
          <w:p>
            <w:pPr>
              <w:ind w:left="60"/>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3980" w:type="dxa"/>
            <w:vAlign w:val="bottom"/>
            <w:gridSpan w:val="4"/>
            <w:vMerge w:val="restart"/>
          </w:tcPr>
          <w:p>
            <w:pPr>
              <w:ind w:left="60"/>
              <w:spacing w:after="0" w:line="21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0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99" w:lineRule="exact"/>
              <w:rPr>
                <w:sz w:val="20"/>
                <w:szCs w:val="20"/>
                <w:color w:val="auto"/>
              </w:rPr>
            </w:pPr>
            <w:r>
              <w:rPr>
                <w:rFonts w:ascii="Arial" w:cs="Arial" w:eastAsia="Arial" w:hAnsi="Arial"/>
                <w:sz w:val="11"/>
                <w:szCs w:val="11"/>
                <w:color w:val="auto"/>
              </w:rPr>
              <w:t>below)</w:t>
            </w:r>
          </w:p>
        </w:tc>
        <w:tc>
          <w:tcPr>
            <w:tcW w:w="1540" w:type="dxa"/>
            <w:vAlign w:val="bottom"/>
          </w:tcPr>
          <w:p>
            <w:pPr>
              <w:ind w:left="360"/>
              <w:spacing w:after="0" w:line="99"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8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01/11/2007</w:t>
            </w: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6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20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44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0" w:lineRule="exact"/>
        <w:rPr>
          <w:sz w:val="20"/>
          <w:szCs w:val="20"/>
          <w:color w:val="auto"/>
        </w:rPr>
      </w:pPr>
    </w:p>
    <w:p>
      <w:pPr>
        <w:sectPr>
          <w:pgSz w:w="11900" w:h="16838" w:orient="portrait"/>
          <w:cols w:equalWidth="0" w:num="2">
            <w:col w:w="3900" w:space="100"/>
            <w:col w:w="7520"/>
          </w:cols>
          <w:pgMar w:left="240" w:top="223" w:right="139" w:bottom="52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6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40"/>
              <w:spacing w:after="0" w:line="131"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w w:val="95"/>
              </w:rPr>
              <w:t>Price</w:t>
            </w:r>
          </w:p>
        </w:tc>
        <w:tc>
          <w:tcPr>
            <w:tcW w:w="4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01/11/2007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2,613</w:t>
            </w:r>
            <w:r>
              <w:rPr>
                <w:rFonts w:ascii="Arial" w:cs="Arial" w:eastAsia="Arial" w:hAnsi="Arial"/>
                <w:sz w:val="21"/>
                <w:szCs w:val="21"/>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56"/>
              <w:spacing w:after="0"/>
              <w:rPr>
                <w:sz w:val="20"/>
                <w:szCs w:val="20"/>
                <w:color w:val="auto"/>
              </w:rPr>
            </w:pP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13,447</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01/11/2007</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2,613</w:t>
            </w:r>
            <w:r>
              <w:rPr>
                <w:rFonts w:ascii="Arial" w:cs="Arial" w:eastAsia="Arial" w:hAnsi="Arial"/>
                <w:sz w:val="21"/>
                <w:szCs w:val="21"/>
                <w:color w:val="008000"/>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566.26</w:t>
            </w:r>
          </w:p>
        </w:tc>
        <w:tc>
          <w:tcPr>
            <w:tcW w:w="12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10,834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4,615</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1"/>
              </w:rPr>
              <w:t>100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5,000</w:t>
            </w:r>
          </w:p>
        </w:tc>
        <w:tc>
          <w:tcPr>
            <w:tcW w:w="30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89"/>
              </w:rPr>
              <w:t>4,230</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gridSpan w:val="2"/>
            <w:vMerge w:val="restart"/>
          </w:tcPr>
          <w:p>
            <w:pPr>
              <w:jc w:val="center"/>
              <w:ind w:left="466"/>
              <w:spacing w:after="0"/>
              <w:rPr>
                <w:sz w:val="20"/>
                <w:szCs w:val="20"/>
                <w:color w:val="auto"/>
              </w:rPr>
            </w:pPr>
            <w:r>
              <w:rPr>
                <w:rFonts w:ascii="Arial" w:cs="Arial" w:eastAsia="Arial" w:hAnsi="Arial"/>
                <w:sz w:val="17"/>
                <w:szCs w:val="17"/>
                <w:color w:val="0000FF"/>
                <w:w w:val="94"/>
              </w:rPr>
              <w:t>13</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600" w:type="dxa"/>
            <w:vAlign w:val="bottom"/>
            <w:tcBorders>
              <w:bottom w:val="single" w:sz="8" w:color="2C2C2C"/>
            </w:tcBorders>
            <w:gridSpan w:val="9"/>
          </w:tcPr>
          <w:p>
            <w:pPr>
              <w:spacing w:after="0"/>
              <w:rPr>
                <w:sz w:val="8"/>
                <w:szCs w:val="8"/>
                <w:color w:val="auto"/>
              </w:rPr>
            </w:pPr>
          </w:p>
        </w:tc>
        <w:tc>
          <w:tcPr>
            <w:tcW w:w="80" w:type="dxa"/>
            <w:vAlign w:val="bottom"/>
            <w:tcBorders>
              <w:bottom w:val="single" w:sz="8" w:color="2C2C2C"/>
            </w:tcBorders>
            <w:gridSpan w:val="2"/>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7360" w:type="dxa"/>
            <w:vAlign w:val="bottom"/>
            <w:tcBorders>
              <w:top w:val="single" w:sz="8" w:color="2C2C2C"/>
            </w:tcBorders>
            <w:gridSpan w:val="12"/>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80" w:type="dxa"/>
            <w:vAlign w:val="bottom"/>
            <w:gridSpan w:val="9"/>
          </w:tcPr>
          <w:p>
            <w:pPr>
              <w:jc w:val="right"/>
              <w:ind w:righ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6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spacing w:after="0" w:line="131"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15"/>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Shares</w:t>
            </w:r>
          </w:p>
        </w:tc>
        <w:tc>
          <w:tcPr>
            <w:tcW w:w="940" w:type="dxa"/>
            <w:vAlign w:val="bottom"/>
          </w:tcPr>
          <w:p>
            <w:pPr>
              <w:ind w:left="440"/>
              <w:spacing w:after="0"/>
              <w:rPr>
                <w:sz w:val="20"/>
                <w:szCs w:val="20"/>
                <w:color w:val="auto"/>
              </w:rPr>
            </w:pPr>
            <w:r>
              <w:rPr>
                <w:rFonts w:ascii="Arial" w:cs="Arial" w:eastAsia="Arial" w:hAnsi="Arial"/>
                <w:sz w:val="11"/>
                <w:szCs w:val="11"/>
                <w:color w:val="008000"/>
              </w:rPr>
              <w:t>(3)</w:t>
            </w:r>
          </w:p>
        </w:tc>
        <w:tc>
          <w:tcPr>
            <w:tcW w:w="1060" w:type="dxa"/>
            <w:vAlign w:val="bottom"/>
          </w:tcPr>
          <w:p>
            <w:pPr>
              <w:ind w:left="220"/>
              <w:spacing w:after="0"/>
              <w:rPr>
                <w:sz w:val="20"/>
                <w:szCs w:val="20"/>
                <w:color w:val="auto"/>
              </w:rPr>
            </w:pPr>
            <w:r>
              <w:rPr>
                <w:rFonts w:ascii="Arial" w:cs="Arial" w:eastAsia="Arial" w:hAnsi="Arial"/>
                <w:sz w:val="13"/>
                <w:szCs w:val="13"/>
                <w:color w:val="0000FF"/>
              </w:rPr>
              <w:t>01/11/2007</w:t>
            </w:r>
          </w:p>
        </w:tc>
        <w:tc>
          <w:tcPr>
            <w:tcW w:w="1100" w:type="dxa"/>
            <w:vAlign w:val="bottom"/>
          </w:tcPr>
          <w:p>
            <w:pPr>
              <w:spacing w:after="0"/>
              <w:rPr>
                <w:sz w:val="17"/>
                <w:szCs w:val="17"/>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40" w:type="dxa"/>
            <w:vAlign w:val="bottom"/>
          </w:tcPr>
          <w:p>
            <w:pPr>
              <w:ind w:left="380"/>
              <w:spacing w:after="0" w:line="205" w:lineRule="exact"/>
              <w:rPr>
                <w:sz w:val="20"/>
                <w:szCs w:val="20"/>
                <w:color w:val="auto"/>
              </w:rPr>
            </w:pPr>
            <w:r>
              <w:rPr>
                <w:rFonts w:ascii="Arial" w:cs="Arial" w:eastAsia="Arial" w:hAnsi="Arial"/>
                <w:sz w:val="13"/>
                <w:szCs w:val="13"/>
                <w:color w:val="0000FF"/>
                <w:w w:val="88"/>
              </w:rPr>
              <w:t>2,613</w:t>
            </w:r>
            <w:r>
              <w:rPr>
                <w:rFonts w:ascii="Arial" w:cs="Arial" w:eastAsia="Arial" w:hAnsi="Arial"/>
                <w:sz w:val="21"/>
                <w:szCs w:val="21"/>
                <w:color w:val="008000"/>
                <w:w w:val="88"/>
                <w:vertAlign w:val="superscript"/>
              </w:rPr>
              <w:t>(1)</w:t>
            </w:r>
          </w:p>
        </w:tc>
        <w:tc>
          <w:tcPr>
            <w:tcW w:w="800" w:type="dxa"/>
            <w:vAlign w:val="bottom"/>
          </w:tcPr>
          <w:p>
            <w:pPr>
              <w:ind w:left="380"/>
              <w:spacing w:after="0"/>
              <w:rPr>
                <w:sz w:val="20"/>
                <w:szCs w:val="20"/>
                <w:color w:val="auto"/>
              </w:rPr>
            </w:pPr>
            <w:r>
              <w:rPr>
                <w:rFonts w:ascii="Arial" w:cs="Arial" w:eastAsia="Arial" w:hAnsi="Arial"/>
                <w:sz w:val="11"/>
                <w:szCs w:val="11"/>
                <w:color w:val="008000"/>
              </w:rPr>
              <w:t>(4)</w:t>
            </w:r>
          </w:p>
        </w:tc>
        <w:tc>
          <w:tcPr>
            <w:tcW w:w="740" w:type="dxa"/>
            <w:vAlign w:val="bottom"/>
          </w:tcPr>
          <w:p>
            <w:pPr>
              <w:jc w:val="right"/>
              <w:ind w:right="215"/>
              <w:spacing w:after="0"/>
              <w:rPr>
                <w:sz w:val="20"/>
                <w:szCs w:val="20"/>
                <w:color w:val="auto"/>
              </w:rPr>
            </w:pPr>
            <w:r>
              <w:rPr>
                <w:rFonts w:ascii="Arial" w:cs="Arial" w:eastAsia="Arial" w:hAnsi="Arial"/>
                <w:sz w:val="11"/>
                <w:szCs w:val="11"/>
                <w:color w:val="008000"/>
              </w:rPr>
              <w:t>(4)</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56"/>
              <w:spacing w:after="0"/>
              <w:rPr>
                <w:sz w:val="20"/>
                <w:szCs w:val="20"/>
                <w:color w:val="auto"/>
              </w:rPr>
            </w:pPr>
            <w:r>
              <w:rPr>
                <w:rFonts w:ascii="Arial" w:cs="Arial" w:eastAsia="Arial" w:hAnsi="Arial"/>
                <w:sz w:val="17"/>
                <w:szCs w:val="17"/>
                <w:color w:val="0000FF"/>
                <w:w w:val="98"/>
              </w:rPr>
              <w:t>2,613</w:t>
            </w:r>
          </w:p>
        </w:tc>
        <w:tc>
          <w:tcPr>
            <w:tcW w:w="4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1"/>
                <w:szCs w:val="11"/>
                <w:color w:val="008000"/>
              </w:rPr>
              <w:t>(2)</w:t>
            </w:r>
          </w:p>
        </w:tc>
        <w:tc>
          <w:tcPr>
            <w:tcW w:w="860" w:type="dxa"/>
            <w:vAlign w:val="bottom"/>
            <w:gridSpan w:val="2"/>
          </w:tcPr>
          <w:p>
            <w:pPr>
              <w:ind w:left="240"/>
              <w:spacing w:after="0"/>
              <w:rPr>
                <w:sz w:val="20"/>
                <w:szCs w:val="20"/>
                <w:color w:val="auto"/>
              </w:rPr>
            </w:pPr>
            <w:r>
              <w:rPr>
                <w:rFonts w:ascii="Arial" w:cs="Arial" w:eastAsia="Arial" w:hAnsi="Arial"/>
                <w:sz w:val="13"/>
                <w:szCs w:val="13"/>
                <w:color w:val="0000FF"/>
              </w:rPr>
              <w:t>20,824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20" w:type="dxa"/>
            <w:vAlign w:val="bottom"/>
          </w:tcPr>
          <w:p>
            <w:pPr>
              <w:ind w:left="60"/>
              <w:spacing w:after="0" w:line="93" w:lineRule="exact"/>
              <w:rPr>
                <w:sz w:val="20"/>
                <w:szCs w:val="20"/>
                <w:color w:val="auto"/>
              </w:rPr>
            </w:pPr>
            <w:r>
              <w:rPr>
                <w:rFonts w:ascii="Arial" w:cs="Arial" w:eastAsia="Arial" w:hAnsi="Arial"/>
                <w:sz w:val="10"/>
                <w:szCs w:val="10"/>
                <w:color w:val="0000FF"/>
              </w:rPr>
              <w:t>(Deferred</w:t>
            </w:r>
          </w:p>
        </w:tc>
        <w:tc>
          <w:tcPr>
            <w:tcW w:w="9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3" w:lineRule="exact"/>
              <w:rPr>
                <w:sz w:val="20"/>
                <w:szCs w:val="20"/>
                <w:color w:val="auto"/>
              </w:rPr>
            </w:pPr>
            <w:r>
              <w:rPr>
                <w:rFonts w:ascii="Arial" w:cs="Arial" w:eastAsia="Arial" w:hAnsi="Arial"/>
                <w:sz w:val="10"/>
                <w:szCs w:val="10"/>
                <w:color w:val="0000FF"/>
              </w:rPr>
              <w:t>Shares</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payment of deferred compensation as a result of the Reporting Person's separation of employment from WTM.</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Phantom Share was the economic equivalent of one WTM Common Share. The Reporting Person settled his Phantom Shares for cash.</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6" w:lineRule="exact"/>
        <w:rPr>
          <w:rFonts w:ascii="Arial" w:cs="Arial" w:eastAsia="Arial" w:hAnsi="Arial"/>
          <w:sz w:val="13"/>
          <w:szCs w:val="13"/>
          <w:color w:val="008000"/>
        </w:rPr>
      </w:pPr>
    </w:p>
    <w:p>
      <w:pPr>
        <w:ind w:left="40" w:right="340" w:firstLine="4"/>
        <w:spacing w:after="0" w:line="255"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held in Reporting Person's deferred compensation account. As a result of the Reporting Person's separation of employment from WTM, the deferred compensation account is payable, in cash or in Common Shares, in ten equal installments that commenced in 2006. Final payment is due in 2015.</w:t>
      </w:r>
    </w:p>
    <w:p>
      <w:pPr>
        <w:sectPr>
          <w:pgSz w:w="11900" w:h="16838" w:orient="portrait"/>
          <w:cols w:equalWidth="0" w:num="1">
            <w:col w:w="11520"/>
          </w:cols>
          <w:pgMar w:left="240" w:top="223" w:right="139" w:bottom="523" w:gutter="0" w:footer="0" w:header="0"/>
          <w:type w:val="continuous"/>
        </w:sectPr>
      </w:pP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0"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3810</wp:posOffset>
            </wp:positionV>
            <wp:extent cx="1393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3190" cy="8255"/>
                    </a:xfrm>
                    <a:prstGeom prst="rect">
                      <a:avLst/>
                    </a:prstGeom>
                    <a:noFill/>
                  </pic:spPr>
                </pic:pic>
              </a:graphicData>
            </a:graphic>
          </wp:anchor>
        </w:drawing>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-13970</wp:posOffset>
            </wp:positionV>
            <wp:extent cx="5010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8"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01/16/2007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7" w:lineRule="exact"/>
        <w:rPr>
          <w:sz w:val="20"/>
          <w:szCs w:val="20"/>
          <w:color w:val="auto"/>
        </w:rPr>
      </w:pPr>
    </w:p>
    <w:p>
      <w:pPr>
        <w:sectPr>
          <w:pgSz w:w="11900" w:h="16838" w:orient="portrait"/>
          <w:cols w:equalWidth="0" w:num="2">
            <w:col w:w="9060" w:space="100"/>
            <w:col w:w="2360"/>
          </w:cols>
          <w:pgMar w:left="240" w:top="223" w:right="139" w:bottom="523"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92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3" w:right="139" w:bottom="523" w:gutter="0" w:footer="0" w:header="0"/>
          <w:type w:val="continuous"/>
        </w:sectPr>
      </w:pPr>
    </w:p>
    <w:bookmarkStart w:id="1" w:name="page2"/>
    <w:bookmarkEnd w:id="1"/>
    <w:p>
      <w:pPr>
        <w:ind w:right="3979"/>
        <w:spacing w:after="0" w:line="244"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of White Mountains Capital, Inc., signing singly, the undersigned's true and lawful attorney-in-fact to:</w:t>
      </w:r>
    </w:p>
    <w:p>
      <w:pPr>
        <w:spacing w:after="0" w:line="4" w:lineRule="exact"/>
        <w:rPr>
          <w:sz w:val="20"/>
          <w:szCs w:val="20"/>
          <w:color w:val="auto"/>
        </w:rPr>
      </w:pPr>
    </w:p>
    <w:p>
      <w:pPr>
        <w:ind w:right="39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3" w:lineRule="exact"/>
        <w:rPr>
          <w:rFonts w:ascii="Courier New" w:cs="Courier New" w:eastAsia="Courier New" w:hAnsi="Courier New"/>
          <w:sz w:val="17"/>
          <w:szCs w:val="17"/>
          <w:color w:val="auto"/>
        </w:rPr>
      </w:pPr>
    </w:p>
    <w:p>
      <w:pPr>
        <w:ind w:right="3879" w:firstLine="5"/>
        <w:spacing w:after="0" w:line="244" w:lineRule="auto"/>
        <w:tabs>
          <w:tab w:leader="none" w:pos="40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3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4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2" w:lineRule="exact"/>
        <w:rPr>
          <w:rFonts w:ascii="Courier New" w:cs="Courier New" w:eastAsia="Courier New" w:hAnsi="Courier New"/>
          <w:sz w:val="17"/>
          <w:szCs w:val="17"/>
          <w:color w:val="auto"/>
        </w:rPr>
      </w:pPr>
    </w:p>
    <w:p>
      <w:pPr>
        <w:ind w:right="337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2" w:lineRule="exact"/>
        <w:rPr>
          <w:rFonts w:ascii="Courier New" w:cs="Courier New" w:eastAsia="Courier New" w:hAnsi="Courier New"/>
          <w:sz w:val="17"/>
          <w:szCs w:val="17"/>
          <w:color w:val="auto"/>
        </w:rPr>
      </w:pPr>
    </w:p>
    <w:p>
      <w:pPr>
        <w:ind w:right="407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999"/>
        <w:spacing w:after="0" w:line="24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2"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21st day of July, 2006.</w:t>
      </w:r>
    </w:p>
    <w:p>
      <w:pPr>
        <w:spacing w:after="0" w:line="20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2019-12-18T13:37:44Z</dcterms:created>
  <dcterms:modified xsi:type="dcterms:W3CDTF">2019-12-18T13:37:44Z</dcterms:modified>
</cp:coreProperties>
</file>