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CHOKSI MARY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08/24/2017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08/24/2017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w w:val="87"/>
              </w:rPr>
              <w:t>188</w:t>
            </w:r>
            <w:r>
              <w:rPr>
                <w:rFonts w:ascii="Arial" w:cs="Arial" w:eastAsia="Arial" w:hAnsi="Arial"/>
                <w:sz w:val="22"/>
                <w:szCs w:val="22"/>
                <w:color w:val="008000"/>
                <w:w w:val="87"/>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864.18</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188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2"/>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w w:val="90"/>
              </w:rPr>
              <w:t>1. Pro-rated annual WTM Director Share Award</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0000FF"/>
              </w:rPr>
              <w:t>Wesley C. Bell</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gridSpan w:val="4"/>
          </w:tcPr>
          <w:p>
            <w:pPr>
              <w:ind w:left="260"/>
              <w:spacing w:after="0"/>
              <w:rPr>
                <w:sz w:val="20"/>
                <w:szCs w:val="20"/>
                <w:color w:val="auto"/>
              </w:rPr>
            </w:pPr>
            <w:r>
              <w:rPr>
                <w:rFonts w:ascii="Arial" w:cs="Arial" w:eastAsia="Arial" w:hAnsi="Arial"/>
                <w:sz w:val="18"/>
                <w:szCs w:val="18"/>
                <w:color w:val="0000FF"/>
              </w:rPr>
              <w:t>08/28/2017</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gridSpan w:val="7"/>
          </w:tcPr>
          <w:p>
            <w:pPr>
              <w:spacing w:after="0"/>
              <w:rPr>
                <w:sz w:val="20"/>
                <w:szCs w:val="20"/>
                <w:color w:val="auto"/>
              </w:rPr>
            </w:pPr>
            <w:r>
              <w:rPr>
                <w:rFonts w:ascii="Arial" w:cs="Arial" w:eastAsia="Arial" w:hAnsi="Arial"/>
                <w:sz w:val="14"/>
                <w:szCs w:val="14"/>
                <w:color w:val="auto"/>
                <w:w w:val="99"/>
              </w:rPr>
              <w:t>** Signature of Reporting Person</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Executive Vice President and General Counsel of White Mountains Insurance Group, Ltd., Jason R. Lichtenstein, Managing Director &amp; Associate General Counsel, and Wesley C. Bell, Vice President &amp; Assistant General Counsel,signing singly, the undersigned's true and lawful attorney-in-fact to:</w:t>
      </w:r>
    </w:p>
    <w:p>
      <w:pPr>
        <w:spacing w:after="0" w:line="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42"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 to be executed as of the date indicated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Mary C. Choksi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12, 2017</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570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2019-12-24T09:21:00Z</dcterms:created>
  <dcterms:modified xsi:type="dcterms:W3CDTF">2019-12-24T09:21:00Z</dcterms:modified>
</cp:coreProperties>
</file>