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04/04/2019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3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 Davis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04/04/2019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Pr>
          <w:p>
            <w:pPr>
              <w:ind w:left="260"/>
              <w:spacing w:after="0" w:line="216" w:lineRule="exact"/>
              <w:rPr>
                <w:sz w:val="20"/>
                <w:szCs w:val="20"/>
                <w:color w:val="auto"/>
              </w:rPr>
            </w:pPr>
            <w:r>
              <w:rPr>
                <w:rFonts w:ascii="Arial" w:cs="Arial" w:eastAsia="Arial" w:hAnsi="Arial"/>
                <w:sz w:val="25"/>
                <w:szCs w:val="25"/>
                <w:color w:val="0000FF"/>
                <w:vertAlign w:val="subscript"/>
              </w:rPr>
              <w:t>910</w:t>
            </w:r>
            <w:r>
              <w:rPr>
                <w:rFonts w:ascii="Arial" w:cs="Arial" w:eastAsia="Arial" w:hAnsi="Arial"/>
                <w:sz w:val="10"/>
                <w:szCs w:val="10"/>
                <w:color w:val="008000"/>
              </w:rPr>
              <w:t>(1)</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18"/>
                <w:szCs w:val="18"/>
                <w:color w:val="auto"/>
              </w:rPr>
            </w:pPr>
          </w:p>
        </w:tc>
        <w:tc>
          <w:tcPr>
            <w:tcW w:w="680" w:type="dxa"/>
            <w:vAlign w:val="bottom"/>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923.65</w:t>
            </w:r>
          </w:p>
        </w:tc>
        <w:tc>
          <w:tcPr>
            <w:tcW w:w="360" w:type="dxa"/>
            <w:vAlign w:val="bottom"/>
          </w:tcPr>
          <w:p>
            <w:pPr>
              <w:spacing w:after="0"/>
              <w:rPr>
                <w:sz w:val="18"/>
                <w:szCs w:val="18"/>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5,601</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ind w:left="40"/>
              <w:spacing w:after="0"/>
              <w:rPr>
                <w:sz w:val="20"/>
                <w:szCs w:val="20"/>
                <w:color w:val="auto"/>
              </w:rPr>
            </w:pPr>
            <w:r>
              <w:rPr>
                <w:rFonts w:ascii="Arial" w:cs="Arial" w:eastAsia="Arial" w:hAnsi="Arial"/>
                <w:sz w:val="18"/>
                <w:szCs w:val="18"/>
                <w:color w:val="0000FF"/>
              </w:rPr>
              <w:t>6,639</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00" w:type="dxa"/>
            <w:vAlign w:val="bottom"/>
            <w:tcBorders>
              <w:bottom w:val="single" w:sz="8" w:color="2C2C2C"/>
            </w:tcBorders>
            <w:gridSpan w:val="6"/>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The sale reported in this Form 4 was effected pursuant to a Rule 10b5-1 trading plan adopted by the Davis Family Trust on March 6, 2019.</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04/05/2019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w:t>
      </w:r>
    </w:p>
    <w:p>
      <w:pPr>
        <w:spacing w:after="0" w:line="10" w:lineRule="exact"/>
        <w:rPr>
          <w:sz w:val="20"/>
          <w:szCs w:val="20"/>
          <w:color w:val="auto"/>
        </w:rPr>
      </w:pPr>
    </w:p>
    <w:p>
      <w:pPr>
        <w:ind w:right="4939"/>
        <w:spacing w:after="0" w:line="536" w:lineRule="auto"/>
        <w:rPr>
          <w:sz w:val="20"/>
          <w:szCs w:val="20"/>
          <w:color w:val="auto"/>
        </w:rPr>
      </w:pPr>
      <w:r>
        <w:rPr>
          <w:rFonts w:ascii="Courier New" w:cs="Courier New" w:eastAsia="Courier New" w:hAnsi="Courier New"/>
          <w:sz w:val="16"/>
          <w:szCs w:val="16"/>
          <w:color w:val="auto"/>
        </w:rPr>
        <w:t>Associate General Counsel,signing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24th day of May 2018.</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Morgan W. Davis</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2019-12-24T09:12:41Z</dcterms:created>
  <dcterms:modified xsi:type="dcterms:W3CDTF">2019-12-24T09:12:41Z</dcterms:modified>
</cp:coreProperties>
</file>