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028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02869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SEELIG ROBERT LAWRENCE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60" w:type="dxa"/>
            <w:vAlign w:val="bottom"/>
            <w:vMerge w:val="restart"/>
          </w:tcPr>
          <w:p>
            <w:pPr>
              <w:ind w:left="16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46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46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60" w:type="dxa"/>
            <w:vAlign w:val="bottom"/>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460" w:type="dxa"/>
            <w:vAlign w:val="bottom"/>
            <w:vMerge w:val="restart"/>
          </w:tcPr>
          <w:p>
            <w:pPr>
              <w:ind w:left="16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60" w:type="dxa"/>
            <w:vAlign w:val="bottom"/>
          </w:tcPr>
          <w:p>
            <w:pPr>
              <w:spacing w:after="0"/>
              <w:rPr>
                <w:sz w:val="5"/>
                <w:szCs w:val="5"/>
                <w:color w:val="auto"/>
              </w:rPr>
            </w:pPr>
          </w:p>
        </w:tc>
        <w:tc>
          <w:tcPr>
            <w:tcW w:w="2960" w:type="dxa"/>
            <w:vAlign w:val="bottom"/>
            <w:gridSpan w:val="2"/>
            <w:vMerge w:val="restart"/>
          </w:tcPr>
          <w:p>
            <w:pPr>
              <w:ind w:left="60"/>
              <w:spacing w:after="0"/>
              <w:rPr>
                <w:sz w:val="20"/>
                <w:szCs w:val="20"/>
                <w:color w:val="auto"/>
              </w:rPr>
            </w:pPr>
            <w:r>
              <w:rPr>
                <w:rFonts w:ascii="Arial" w:cs="Arial" w:eastAsia="Arial" w:hAnsi="Arial"/>
                <w:sz w:val="18"/>
                <w:szCs w:val="18"/>
                <w:color w:val="0000FF"/>
              </w:rPr>
              <w:t>Managing Dir &amp; General Counsel</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460" w:type="dxa"/>
            <w:vAlign w:val="bottom"/>
          </w:tcPr>
          <w:p>
            <w:pPr>
              <w:spacing w:after="0"/>
              <w:rPr>
                <w:sz w:val="16"/>
                <w:szCs w:val="16"/>
                <w:color w:val="auto"/>
              </w:rPr>
            </w:pPr>
          </w:p>
        </w:tc>
        <w:tc>
          <w:tcPr>
            <w:tcW w:w="2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01/01/2016</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01/01/2016</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952</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726.81</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14,760</w:t>
            </w:r>
            <w:r>
              <w:rPr>
                <w:rFonts w:ascii="Arial" w:cs="Arial" w:eastAsia="Arial" w:hAnsi="Arial"/>
                <w:sz w:val="22"/>
                <w:szCs w:val="22"/>
                <w:color w:val="008000"/>
                <w:w w:val="84"/>
                <w:vertAlign w:val="superscript"/>
              </w:rPr>
              <w:t>(1)</w:t>
            </w:r>
          </w:p>
        </w:tc>
        <w:tc>
          <w:tcPr>
            <w:tcW w:w="940" w:type="dxa"/>
            <w:vAlign w:val="bottom"/>
            <w:tcBorders>
              <w:bottom w:val="single" w:sz="8" w:color="2C2C2C"/>
            </w:tcBorders>
          </w:tcPr>
          <w:p>
            <w:pPr>
              <w:jc w:val="center"/>
              <w:ind w:right="31"/>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4,625</w:t>
            </w:r>
            <w:r>
              <w:rPr>
                <w:rFonts w:ascii="Arial" w:cs="Arial" w:eastAsia="Arial" w:hAnsi="Arial"/>
                <w:sz w:val="22"/>
                <w:szCs w:val="22"/>
                <w:color w:val="008000"/>
                <w:w w:val="82"/>
                <w:vertAlign w:val="superscript"/>
              </w:rPr>
              <w:t>(1)</w:t>
            </w:r>
          </w:p>
        </w:tc>
        <w:tc>
          <w:tcPr>
            <w:tcW w:w="940" w:type="dxa"/>
            <w:vAlign w:val="bottom"/>
            <w:tcBorders>
              <w:bottom w:val="single" w:sz="8" w:color="2C2C2C"/>
            </w:tcBorders>
          </w:tcPr>
          <w:p>
            <w:pPr>
              <w:jc w:val="center"/>
              <w:ind w:right="31"/>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 wife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vMerge w:val="restart"/>
          </w:tcPr>
          <w:p>
            <w:pPr>
              <w:jc w:val="center"/>
              <w:ind w:right="414"/>
              <w:spacing w:after="0"/>
              <w:rPr>
                <w:sz w:val="20"/>
                <w:szCs w:val="20"/>
                <w:color w:val="auto"/>
              </w:rPr>
            </w:pPr>
            <w:r>
              <w:rPr>
                <w:rFonts w:ascii="Arial" w:cs="Arial" w:eastAsia="Arial" w:hAnsi="Arial"/>
                <w:sz w:val="18"/>
                <w:szCs w:val="18"/>
                <w:color w:val="0000FF"/>
                <w:w w:val="79"/>
              </w:rPr>
              <w:t>5</w:t>
            </w:r>
          </w:p>
        </w:tc>
        <w:tc>
          <w:tcPr>
            <w:tcW w:w="940" w:type="dxa"/>
            <w:vAlign w:val="bottom"/>
            <w:vMerge w:val="restart"/>
          </w:tcPr>
          <w:p>
            <w:pPr>
              <w:jc w:val="center"/>
              <w:ind w:right="11"/>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and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3"/>
              </w:rPr>
              <w:t>dependent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center"/>
              <w:ind w:right="434"/>
              <w:spacing w:after="0"/>
              <w:rPr>
                <w:sz w:val="20"/>
                <w:szCs w:val="20"/>
                <w:color w:val="auto"/>
              </w:rPr>
            </w:pPr>
            <w:r>
              <w:rPr>
                <w:rFonts w:ascii="Arial" w:cs="Arial" w:eastAsia="Arial" w:hAnsi="Arial"/>
                <w:sz w:val="18"/>
                <w:szCs w:val="18"/>
                <w:color w:val="0000FF"/>
                <w:w w:val="86"/>
              </w:rPr>
              <w:t>536</w:t>
            </w:r>
          </w:p>
        </w:tc>
        <w:tc>
          <w:tcPr>
            <w:tcW w:w="940" w:type="dxa"/>
            <w:vAlign w:val="bottom"/>
          </w:tcPr>
          <w:p>
            <w:pPr>
              <w:jc w:val="center"/>
              <w:ind w:right="11"/>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 401(k)</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060" w:type="dxa"/>
            <w:vAlign w:val="bottom"/>
            <w:tcBorders>
              <w:bottom w:val="single" w:sz="8" w:color="2C2C2C"/>
            </w:tcBorders>
            <w:gridSpan w:val="1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4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On January 1, 2016, 2,250 restricted WTM Common Shares became unrestricted. 952 of the Common Shares were withheld by the Company to satisfy the Reporting Person's tax obligations.</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01/05/2016</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Robert L. Seelig</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19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2019-12-24T06:50:24Z</dcterms:created>
  <dcterms:modified xsi:type="dcterms:W3CDTF">2019-12-24T06:50:24Z</dcterms:modified>
</cp:coreProperties>
</file>