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12/29/2009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59"/>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59"/>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8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60" w:type="dxa"/>
            <w:vAlign w:val="bottom"/>
            <w:gridSpan w:val="2"/>
          </w:tcPr>
          <w:p>
            <w:pPr>
              <w:ind w:left="960"/>
              <w:spacing w:after="0"/>
              <w:rPr>
                <w:sz w:val="20"/>
                <w:szCs w:val="20"/>
                <w:color w:val="auto"/>
              </w:rPr>
            </w:pPr>
            <w:r>
              <w:rPr>
                <w:rFonts w:ascii="Arial" w:cs="Arial" w:eastAsia="Arial" w:hAnsi="Arial"/>
                <w:sz w:val="17"/>
                <w:szCs w:val="17"/>
                <w:color w:val="0000FF"/>
              </w:rPr>
              <w:t>12/29/2009</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40"/>
              <w:spacing w:after="0"/>
              <w:rPr>
                <w:sz w:val="20"/>
                <w:szCs w:val="20"/>
                <w:color w:val="auto"/>
              </w:rPr>
            </w:pPr>
            <w:r>
              <w:rPr>
                <w:rFonts w:ascii="Arial" w:cs="Arial" w:eastAsia="Arial" w:hAnsi="Arial"/>
                <w:sz w:val="13"/>
                <w:szCs w:val="13"/>
                <w:color w:val="0000FF"/>
              </w:rPr>
              <w:t>G</w:t>
            </w:r>
          </w:p>
        </w:tc>
        <w:tc>
          <w:tcPr>
            <w:tcW w:w="360" w:type="dxa"/>
            <w:vAlign w:val="bottom"/>
          </w:tcPr>
          <w:p>
            <w:pPr>
              <w:ind w:left="80"/>
              <w:spacing w:after="0"/>
              <w:rPr>
                <w:sz w:val="20"/>
                <w:szCs w:val="20"/>
                <w:color w:val="auto"/>
              </w:rPr>
            </w:pPr>
            <w:r>
              <w:rPr>
                <w:rFonts w:ascii="Arial" w:cs="Arial" w:eastAsia="Arial" w:hAnsi="Arial"/>
                <w:sz w:val="13"/>
                <w:szCs w:val="13"/>
                <w:color w:val="0000FF"/>
              </w:rPr>
              <w:t>V</w:t>
            </w:r>
          </w:p>
        </w:tc>
        <w:tc>
          <w:tcPr>
            <w:tcW w:w="540" w:type="dxa"/>
            <w:vAlign w:val="bottom"/>
            <w:gridSpan w:val="2"/>
          </w:tcPr>
          <w:p>
            <w:pPr>
              <w:ind w:left="240"/>
              <w:spacing w:after="0"/>
              <w:rPr>
                <w:sz w:val="20"/>
                <w:szCs w:val="20"/>
                <w:color w:val="auto"/>
              </w:rPr>
            </w:pPr>
            <w:r>
              <w:rPr>
                <w:rFonts w:ascii="Arial" w:cs="Arial" w:eastAsia="Arial" w:hAnsi="Arial"/>
                <w:sz w:val="17"/>
                <w:szCs w:val="17"/>
                <w:color w:val="0000FF"/>
                <w:w w:val="98"/>
              </w:rPr>
              <w:t>410</w:t>
            </w:r>
          </w:p>
        </w:tc>
        <w:tc>
          <w:tcPr>
            <w:tcW w:w="580" w:type="dxa"/>
            <w:vAlign w:val="bottom"/>
          </w:tcPr>
          <w:p>
            <w:pPr>
              <w:ind w:left="44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7"/>
                <w:szCs w:val="17"/>
                <w:color w:val="0000FF"/>
                <w:w w:val="92"/>
              </w:rPr>
              <w:t>28,785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7"/>
                <w:szCs w:val="17"/>
                <w:color w:val="0000FF"/>
                <w:w w:val="92"/>
              </w:rPr>
              <w:t>36,000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7"/>
                <w:szCs w:val="17"/>
                <w:color w:val="0000FF"/>
                <w:w w:val="92"/>
              </w:rPr>
              <w:t>24,768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jc w:val="center"/>
              <w:ind w:left="22"/>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vMerge w:val="restart"/>
          </w:tcPr>
          <w:p>
            <w:pPr>
              <w:jc w:val="center"/>
              <w:ind w:left="2"/>
              <w:spacing w:after="0"/>
              <w:rPr>
                <w:sz w:val="20"/>
                <w:szCs w:val="20"/>
                <w:color w:val="auto"/>
              </w:rPr>
            </w:pPr>
            <w:r>
              <w:rPr>
                <w:rFonts w:ascii="Arial" w:cs="Arial" w:eastAsia="Arial" w:hAnsi="Arial"/>
                <w:sz w:val="17"/>
                <w:szCs w:val="17"/>
                <w:color w:val="0000FF"/>
                <w:w w:val="91"/>
              </w:rPr>
              <w:t>775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jc w:val="center"/>
              <w:ind w:left="2"/>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3"/>
          </w:tcPr>
          <w:p>
            <w:pPr>
              <w:jc w:val="center"/>
              <w:ind w:left="2"/>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3"/>
            <w:vMerge w:val="restart"/>
          </w:tcPr>
          <w:p>
            <w:pPr>
              <w:jc w:val="center"/>
              <w:ind w:left="2"/>
              <w:spacing w:after="0"/>
              <w:rPr>
                <w:sz w:val="20"/>
                <w:szCs w:val="20"/>
                <w:color w:val="auto"/>
              </w:rPr>
            </w:pPr>
            <w:r>
              <w:rPr>
                <w:rFonts w:ascii="Arial" w:cs="Arial" w:eastAsia="Arial" w:hAnsi="Arial"/>
                <w:sz w:val="17"/>
                <w:szCs w:val="17"/>
                <w:color w:val="0000FF"/>
                <w:w w:val="82"/>
              </w:rPr>
              <w:t>162</w:t>
            </w:r>
            <w:r>
              <w:rPr>
                <w:rFonts w:ascii="Arial" w:cs="Arial" w:eastAsia="Arial" w:hAnsi="Arial"/>
                <w:sz w:val="22"/>
                <w:szCs w:val="22"/>
                <w:color w:val="008000"/>
                <w:w w:val="82"/>
                <w:vertAlign w:val="superscript"/>
              </w:rPr>
              <w:t>(1)</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59"/>
              <w:spacing w:after="0"/>
              <w:rPr>
                <w:sz w:val="20"/>
                <w:szCs w:val="20"/>
                <w:color w:val="auto"/>
              </w:rPr>
            </w:pPr>
            <w:r>
              <w:rPr>
                <w:rFonts w:ascii="Arial" w:cs="Arial" w:eastAsia="Arial" w:hAnsi="Arial"/>
                <w:sz w:val="11"/>
                <w:szCs w:val="11"/>
                <w:color w:val="008000"/>
                <w:w w:val="88"/>
              </w:rPr>
              <w:t>(3)</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200,000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01/19/2014</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Reporting Person's last filing, Reporting Person acquired 19 shares of WTM Common Shares under his Company 401(k) Plan account Plan. WTM Common Shares are purchased at fair market value on the date of purchase. The information in this report is based on a plan statement dated as of December 31, 2009.</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01/14/2010</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4"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2019-12-18T12:57:13Z</dcterms:created>
  <dcterms:modified xsi:type="dcterms:W3CDTF">2019-12-18T12:57:13Z</dcterms:modified>
</cp:coreProperties>
</file>