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06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0646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9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09/26/2007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9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3"/>
              </w:rPr>
              <w:t>1,776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09/26/2007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13</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13</w:t>
            </w:r>
          </w:p>
        </w:tc>
        <w:tc>
          <w:tcPr>
            <w:tcW w:w="7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525.8</w:t>
            </w:r>
            <w:r>
              <w:rPr>
                <w:rFonts w:ascii="Arial" w:cs="Arial" w:eastAsia="Arial" w:hAnsi="Arial"/>
                <w:sz w:val="22"/>
                <w:szCs w:val="22"/>
                <w:color w:val="008000"/>
                <w:vertAlign w:val="superscript"/>
              </w:rPr>
              <w:t>(5)</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3,333</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4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September 26,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3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previous separation of employment from WTM, the deferred compensation account is payable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September 26, 2007, the date the dividends are deemed to be paid.</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987"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09/28/2007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987"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987"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2019-12-18T13:28:02Z</dcterms:created>
  <dcterms:modified xsi:type="dcterms:W3CDTF">2019-12-18T13:28:02Z</dcterms:modified>
</cp:coreProperties>
</file>