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EVP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02/28/2019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80" w:type="dxa"/>
            <w:vAlign w:val="bottom"/>
            <w:gridSpan w:val="8"/>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02/28/2019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(1)</w:t>
            </w:r>
          </w:p>
        </w:tc>
        <w:tc>
          <w:tcPr>
            <w:tcW w:w="4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w w:val="82"/>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40" w:type="dxa"/>
            <w:vAlign w:val="bottom"/>
            <w:tcBorders>
              <w:bottom w:val="single" w:sz="8" w:color="2C2C2C"/>
            </w:tcBorders>
            <w:gridSpan w:val="3"/>
          </w:tcPr>
          <w:p>
            <w:pPr>
              <w:jc w:val="center"/>
              <w:ind w:left="70"/>
              <w:spacing w:after="0"/>
              <w:rPr>
                <w:sz w:val="20"/>
                <w:szCs w:val="20"/>
                <w:color w:val="auto"/>
              </w:rPr>
            </w:pPr>
            <w:r>
              <w:rPr>
                <w:rFonts w:ascii="Arial" w:cs="Arial" w:eastAsia="Arial" w:hAnsi="Arial"/>
                <w:sz w:val="18"/>
                <w:szCs w:val="18"/>
                <w:color w:val="0000FF"/>
                <w:w w:val="84"/>
              </w:rPr>
              <w:t>4,800</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40" w:type="dxa"/>
            <w:vAlign w:val="bottom"/>
            <w:gridSpan w:val="3"/>
          </w:tcPr>
          <w:p>
            <w:pPr>
              <w:jc w:val="center"/>
              <w:ind w:left="70"/>
              <w:spacing w:after="0"/>
              <w:rPr>
                <w:sz w:val="20"/>
                <w:szCs w:val="20"/>
                <w:color w:val="auto"/>
              </w:rPr>
            </w:pPr>
            <w:r>
              <w:rPr>
                <w:rFonts w:ascii="Arial" w:cs="Arial" w:eastAsia="Arial" w:hAnsi="Arial"/>
                <w:sz w:val="18"/>
                <w:szCs w:val="18"/>
                <w:color w:val="0000FF"/>
                <w:w w:val="90"/>
              </w:rPr>
              <w:t>15,606</w:t>
            </w:r>
          </w:p>
        </w:tc>
        <w:tc>
          <w:tcPr>
            <w:tcW w:w="940" w:type="dxa"/>
            <w:vAlign w:val="bottom"/>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vMerge w:val="restart"/>
          </w:tcPr>
          <w:p>
            <w:pPr>
              <w:jc w:val="center"/>
              <w:ind w:right="414"/>
              <w:spacing w:after="0"/>
              <w:rPr>
                <w:sz w:val="20"/>
                <w:szCs w:val="20"/>
                <w:color w:val="auto"/>
              </w:rPr>
            </w:pPr>
            <w:r>
              <w:rPr>
                <w:rFonts w:ascii="Arial" w:cs="Arial" w:eastAsia="Arial" w:hAnsi="Arial"/>
                <w:sz w:val="18"/>
                <w:szCs w:val="18"/>
                <w:color w:val="0000FF"/>
                <w:w w:val="99"/>
              </w:rPr>
              <w:t>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center"/>
              <w:ind w:right="414"/>
              <w:spacing w:after="0"/>
              <w:rPr>
                <w:sz w:val="20"/>
                <w:szCs w:val="20"/>
                <w:color w:val="auto"/>
              </w:rPr>
            </w:pPr>
            <w:r>
              <w:rPr>
                <w:rFonts w:ascii="Arial" w:cs="Arial" w:eastAsia="Arial" w:hAnsi="Arial"/>
                <w:sz w:val="18"/>
                <w:szCs w:val="18"/>
                <w:color w:val="0000FF"/>
                <w:w w:val="86"/>
              </w:rPr>
              <w:t>555</w:t>
            </w:r>
          </w:p>
        </w:tc>
        <w:tc>
          <w:tcPr>
            <w:tcW w:w="940" w:type="dxa"/>
            <w:vAlign w:val="bottom"/>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2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jc w:val="right"/>
              <w:ind w:right="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7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On February 28, 2019, the Reporting Person received a restricted share award of 1,000 Common Shares, which vests on January 1, 2022.</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Date: May 24,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Robert L. Seelig</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2019-12-24T09:12:41Z</dcterms:created>
  <dcterms:modified xsi:type="dcterms:W3CDTF">2019-12-24T09:12:41Z</dcterms:modified>
</cp:coreProperties>
</file>