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63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630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BERKOWITZ BRUCE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01/03/2006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jc w:val="center"/>
              <w:ind w:left="348"/>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580" w:type="dxa"/>
            <w:vAlign w:val="bottom"/>
            <w:gridSpan w:val="2"/>
            <w:vMerge w:val="restart"/>
          </w:tcPr>
          <w:p>
            <w:pPr>
              <w:jc w:val="center"/>
              <w:ind w:left="348"/>
              <w:spacing w:after="0"/>
              <w:rPr>
                <w:sz w:val="20"/>
                <w:szCs w:val="20"/>
                <w:color w:val="auto"/>
              </w:rPr>
            </w:pPr>
            <w:r>
              <w:rPr>
                <w:rFonts w:ascii="Arial" w:cs="Arial" w:eastAsia="Arial" w:hAnsi="Arial"/>
                <w:sz w:val="18"/>
                <w:szCs w:val="18"/>
                <w:color w:val="0000FF"/>
                <w:w w:val="88"/>
              </w:rPr>
              <w:t>01/03/2006</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vMerge w:val="restart"/>
          </w:tcPr>
          <w:p>
            <w:pPr>
              <w:ind w:left="200"/>
              <w:spacing w:after="0"/>
              <w:rPr>
                <w:sz w:val="20"/>
                <w:szCs w:val="20"/>
                <w:color w:val="auto"/>
              </w:rPr>
            </w:pPr>
            <w:r>
              <w:rPr>
                <w:rFonts w:ascii="Arial" w:cs="Arial" w:eastAsia="Arial" w:hAnsi="Arial"/>
                <w:sz w:val="14"/>
                <w:szCs w:val="14"/>
                <w:color w:val="0000FF"/>
              </w:rPr>
              <w:t>J</w:t>
            </w:r>
          </w:p>
        </w:tc>
        <w:tc>
          <w:tcPr>
            <w:tcW w:w="380" w:type="dxa"/>
            <w:vAlign w:val="bottom"/>
            <w:vMerge w:val="restart"/>
          </w:tcPr>
          <w:p>
            <w:pPr>
              <w:ind w:left="120"/>
              <w:spacing w:after="0"/>
              <w:rPr>
                <w:sz w:val="20"/>
                <w:szCs w:val="20"/>
                <w:color w:val="auto"/>
              </w:rPr>
            </w:pPr>
            <w:r>
              <w:rPr>
                <w:rFonts w:ascii="Arial" w:cs="Arial" w:eastAsia="Arial" w:hAnsi="Arial"/>
                <w:sz w:val="14"/>
                <w:szCs w:val="14"/>
                <w:color w:val="0000FF"/>
              </w:rPr>
              <w:t>V</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7"/>
              </w:rPr>
              <w:t>62,000</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760" w:type="dxa"/>
            <w:vAlign w:val="bottom"/>
            <w:vMerge w:val="restart"/>
          </w:tcPr>
          <w:p>
            <w:pPr>
              <w:jc w:val="center"/>
              <w:ind w:left="353"/>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(1)</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8"/>
              </w:rPr>
              <w:t>By Fairholme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w w:val="98"/>
              </w:rPr>
              <w:t>Partners L.P.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348"/>
              <w:spacing w:after="0"/>
              <w:rPr>
                <w:sz w:val="20"/>
                <w:szCs w:val="20"/>
                <w:color w:val="auto"/>
              </w:rPr>
            </w:pPr>
            <w:r>
              <w:rPr>
                <w:rFonts w:ascii="Arial" w:cs="Arial" w:eastAsia="Arial" w:hAnsi="Arial"/>
                <w:sz w:val="18"/>
                <w:szCs w:val="18"/>
                <w:color w:val="0000FF"/>
                <w:w w:val="88"/>
              </w:rPr>
              <w:t>01/03/2006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J</w:t>
            </w: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rPr>
              <w:t>V</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2,958</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2"/>
              </w:rPr>
              <w:t>2,958</w:t>
            </w:r>
            <w:r>
              <w:rPr>
                <w:rFonts w:ascii="Arial" w:cs="Arial" w:eastAsia="Arial" w:hAnsi="Arial"/>
                <w:sz w:val="22"/>
                <w:szCs w:val="22"/>
                <w:color w:val="008000"/>
                <w:w w:val="82"/>
                <w:vertAlign w:val="superscript"/>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580" w:type="dxa"/>
            <w:vAlign w:val="bottom"/>
            <w:gridSpan w:val="2"/>
            <w:vMerge w:val="restart"/>
          </w:tcPr>
          <w:p>
            <w:pPr>
              <w:jc w:val="center"/>
              <w:ind w:left="348"/>
              <w:spacing w:after="0"/>
              <w:rPr>
                <w:sz w:val="20"/>
                <w:szCs w:val="20"/>
                <w:color w:val="auto"/>
              </w:rPr>
            </w:pPr>
            <w:r>
              <w:rPr>
                <w:rFonts w:ascii="Arial" w:cs="Arial" w:eastAsia="Arial" w:hAnsi="Arial"/>
                <w:sz w:val="18"/>
                <w:szCs w:val="18"/>
                <w:color w:val="0000FF"/>
                <w:w w:val="88"/>
              </w:rPr>
              <w:t>01/03/2006</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vMerge w:val="restart"/>
          </w:tcPr>
          <w:p>
            <w:pPr>
              <w:ind w:left="200"/>
              <w:spacing w:after="0"/>
              <w:rPr>
                <w:sz w:val="20"/>
                <w:szCs w:val="20"/>
                <w:color w:val="auto"/>
              </w:rPr>
            </w:pPr>
            <w:r>
              <w:rPr>
                <w:rFonts w:ascii="Arial" w:cs="Arial" w:eastAsia="Arial" w:hAnsi="Arial"/>
                <w:sz w:val="14"/>
                <w:szCs w:val="14"/>
                <w:color w:val="0000FF"/>
              </w:rPr>
              <w:t>J</w:t>
            </w:r>
          </w:p>
        </w:tc>
        <w:tc>
          <w:tcPr>
            <w:tcW w:w="380" w:type="dxa"/>
            <w:vAlign w:val="bottom"/>
            <w:vMerge w:val="restart"/>
          </w:tcPr>
          <w:p>
            <w:pPr>
              <w:ind w:left="120"/>
              <w:spacing w:after="0"/>
              <w:rPr>
                <w:sz w:val="20"/>
                <w:szCs w:val="20"/>
                <w:color w:val="auto"/>
              </w:rPr>
            </w:pPr>
            <w:r>
              <w:rPr>
                <w:rFonts w:ascii="Arial" w:cs="Arial" w:eastAsia="Arial" w:hAnsi="Arial"/>
                <w:sz w:val="14"/>
                <w:szCs w:val="14"/>
                <w:color w:val="0000FF"/>
              </w:rPr>
              <w:t>V</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8"/>
              </w:rPr>
              <w:t>1,479</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2"/>
              </w:rPr>
              <w:t>1,479</w:t>
            </w:r>
            <w:r>
              <w:rPr>
                <w:rFonts w:ascii="Arial" w:cs="Arial" w:eastAsia="Arial" w:hAnsi="Arial"/>
                <w:sz w:val="22"/>
                <w:szCs w:val="22"/>
                <w:color w:val="008000"/>
                <w:w w:val="82"/>
                <w:vertAlign w:val="superscript"/>
              </w:rPr>
              <w:t>(3)</w:t>
            </w:r>
          </w:p>
        </w:tc>
        <w:tc>
          <w:tcPr>
            <w:tcW w:w="300" w:type="dxa"/>
            <w:vAlign w:val="bottom"/>
          </w:tcPr>
          <w:p>
            <w:pPr>
              <w:spacing w:after="0"/>
              <w:rPr>
                <w:sz w:val="22"/>
                <w:szCs w:val="22"/>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7"/>
              </w:rPr>
              <w:t>By East Lane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8"/>
              </w:rPr>
              <w:t>By Fairholme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580" w:type="dxa"/>
            <w:vAlign w:val="bottom"/>
            <w:gridSpan w:val="2"/>
            <w:vMerge w:val="restart"/>
          </w:tcPr>
          <w:p>
            <w:pPr>
              <w:jc w:val="center"/>
              <w:ind w:left="348"/>
              <w:spacing w:after="0"/>
              <w:rPr>
                <w:sz w:val="20"/>
                <w:szCs w:val="20"/>
                <w:color w:val="auto"/>
              </w:rPr>
            </w:pPr>
            <w:r>
              <w:rPr>
                <w:rFonts w:ascii="Arial" w:cs="Arial" w:eastAsia="Arial" w:hAnsi="Arial"/>
                <w:sz w:val="18"/>
                <w:szCs w:val="18"/>
                <w:color w:val="0000FF"/>
                <w:w w:val="88"/>
              </w:rPr>
              <w:t>01/03/2006</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vMerge w:val="restart"/>
          </w:tcPr>
          <w:p>
            <w:pPr>
              <w:ind w:left="200"/>
              <w:spacing w:after="0"/>
              <w:rPr>
                <w:sz w:val="20"/>
                <w:szCs w:val="20"/>
                <w:color w:val="auto"/>
              </w:rPr>
            </w:pPr>
            <w:r>
              <w:rPr>
                <w:rFonts w:ascii="Arial" w:cs="Arial" w:eastAsia="Arial" w:hAnsi="Arial"/>
                <w:sz w:val="14"/>
                <w:szCs w:val="14"/>
                <w:color w:val="0000FF"/>
              </w:rPr>
              <w:t>J</w:t>
            </w:r>
          </w:p>
        </w:tc>
        <w:tc>
          <w:tcPr>
            <w:tcW w:w="380" w:type="dxa"/>
            <w:vAlign w:val="bottom"/>
            <w:vMerge w:val="restart"/>
          </w:tcPr>
          <w:p>
            <w:pPr>
              <w:ind w:left="120"/>
              <w:spacing w:after="0"/>
              <w:rPr>
                <w:sz w:val="20"/>
                <w:szCs w:val="20"/>
                <w:color w:val="auto"/>
              </w:rPr>
            </w:pPr>
            <w:r>
              <w:rPr>
                <w:rFonts w:ascii="Arial" w:cs="Arial" w:eastAsia="Arial" w:hAnsi="Arial"/>
                <w:sz w:val="14"/>
                <w:szCs w:val="14"/>
                <w:color w:val="0000FF"/>
              </w:rPr>
              <w:t>V</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7"/>
              </w:rPr>
              <w:t>16,785</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16,785</w:t>
            </w:r>
            <w:r>
              <w:rPr>
                <w:rFonts w:ascii="Arial" w:cs="Arial" w:eastAsia="Arial" w:hAnsi="Arial"/>
                <w:sz w:val="22"/>
                <w:szCs w:val="22"/>
                <w:color w:val="008000"/>
                <w:w w:val="84"/>
                <w:vertAlign w:val="superscript"/>
              </w:rPr>
              <w:t>(4)</w:t>
            </w:r>
          </w:p>
        </w:tc>
        <w:tc>
          <w:tcPr>
            <w:tcW w:w="300" w:type="dxa"/>
            <w:vAlign w:val="bottom"/>
          </w:tcPr>
          <w:p>
            <w:pPr>
              <w:spacing w:after="0"/>
              <w:rPr>
                <w:sz w:val="18"/>
                <w:szCs w:val="18"/>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2"/>
              </w:rPr>
              <w:t>8,500</w:t>
            </w:r>
            <w:r>
              <w:rPr>
                <w:rFonts w:ascii="Arial" w:cs="Arial" w:eastAsia="Arial" w:hAnsi="Arial"/>
                <w:sz w:val="22"/>
                <w:szCs w:val="22"/>
                <w:color w:val="008000"/>
                <w:w w:val="82"/>
                <w:vertAlign w:val="superscript"/>
              </w:rPr>
              <w:t>(5)</w:t>
            </w:r>
          </w:p>
        </w:tc>
        <w:tc>
          <w:tcPr>
            <w:tcW w:w="300" w:type="dxa"/>
            <w:vAlign w:val="bottom"/>
          </w:tcPr>
          <w:p>
            <w:pPr>
              <w:spacing w:after="0"/>
              <w:rPr>
                <w:sz w:val="22"/>
                <w:szCs w:val="22"/>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6"/>
              </w:rPr>
              <w:t>See Footnote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rPr>
              <w:t>5</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Berkowitz has elected to file this voluntary Form 4 to report the distribution (the "Distribution") on January 3, 2006 of 62,000 WTM Common Shares from Fairholme Partners L.P. ("Fairholme Partners") to its partners of which 40,778 shares were distributed to partners other than Bruce Berkowitz or his affiliates. This voluntary report is being made in lieu of reporting such distribution on Form 5 within 45 days after the close of WTM's 2006 fiscal year. Mr. Berkowitz previously reported his indirect beneficial ownership of the 62,000 WTM Common Shares held by Fairholme Partners in prior reports but disclaimed beneficial ownershjp of these Common Shares except to the extent of his pecuniary interest.</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connection with the Distribution, Mr. Berkowitz received 2,958 WTM Common Shares.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Distribution, East Lane L.L.C., a Berkowitz Family Partnership, received 1,479 WTM Common Shares. Mr. Berkowitz is the Managing Member of East Lane L.L.C.</w:t>
      </w:r>
    </w:p>
    <w:p>
      <w:pPr>
        <w:spacing w:after="0" w:line="64" w:lineRule="exact"/>
        <w:rPr>
          <w:rFonts w:ascii="Arial" w:cs="Arial" w:eastAsia="Arial" w:hAnsi="Arial"/>
          <w:sz w:val="12"/>
          <w:szCs w:val="12"/>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connection with the Distribution, Fairholme Capital Management L.L.C. ("Fairholme Capital") received 16,785 WTM Common Shares. Fairholme Capital is a registered investment adviser owned by Mr. Berkowitz and East Lane L.L.C. Mr. Berkowitz is the Managing Member of Fairholme Capital.</w:t>
      </w:r>
    </w:p>
    <w:p>
      <w:pPr>
        <w:spacing w:after="0" w:line="30" w:lineRule="exact"/>
        <w:rPr>
          <w:rFonts w:ascii="Arial" w:cs="Arial" w:eastAsia="Arial" w:hAnsi="Arial"/>
          <w:sz w:val="14"/>
          <w:szCs w:val="14"/>
          <w:color w:val="008000"/>
        </w:rPr>
      </w:pP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Fairholme Ventures II, LLC ("Fairholme Ventures") is the beneficial owner of 1,500 Common Shares of WTM and Fairholme Funds, Inc./The Fairholme Fund (the "Fairholme Fund") is the beneficial owner of 7,000 Common Shares of WTM. Mr. Berkowitz is the Managing Member of Fairholme Capital which is the Managing Member of Fairholme Ventures and the Investment Adviser to Fairholme Fund. Mr. Berkowitz disclaims beneficial ownership of the WTM Common Shares owned by Fairholme Ventures and Fairholme Fund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Dennis P. Beaulieu, by Power</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03/21/2006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May,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Bruce Berkowitz</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3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2019-12-17T11:00:13Z</dcterms:created>
  <dcterms:modified xsi:type="dcterms:W3CDTF">2019-12-17T11:00:13Z</dcterms:modified>
</cp:coreProperties>
</file>