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02/25/2015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02/25/2015</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6,750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6,249</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31"/>
              <w:spacing w:after="0"/>
              <w:rPr>
                <w:sz w:val="20"/>
                <w:szCs w:val="20"/>
                <w:color w:val="auto"/>
              </w:rPr>
            </w:pPr>
            <w:r>
              <w:rPr>
                <w:rFonts w:ascii="Arial" w:cs="Arial" w:eastAsia="Arial" w:hAnsi="Arial"/>
                <w:sz w:val="18"/>
                <w:szCs w:val="18"/>
                <w:color w:val="0000FF"/>
                <w:w w:val="89"/>
              </w:rPr>
              <w:t>73</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25, 2015, the Reporting Person received a restricted share award of 2,250 Common Shares which vest on January 1, 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02/27/2015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2019-12-24T06:39:29Z</dcterms:created>
  <dcterms:modified xsi:type="dcterms:W3CDTF">2019-12-24T06:39:29Z</dcterms:modified>
</cp:coreProperties>
</file>